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70" w:type="dxa"/>
          <w:right w:w="70" w:type="dxa"/>
        </w:tblCellMar>
        <w:tblLook w:val="0000" w:firstRow="0" w:lastRow="0" w:firstColumn="0" w:lastColumn="0" w:noHBand="0" w:noVBand="0"/>
      </w:tblPr>
      <w:tblGrid>
        <w:gridCol w:w="2127"/>
        <w:gridCol w:w="3402"/>
        <w:gridCol w:w="3543"/>
      </w:tblGrid>
      <w:tr w:rsidR="00EF72B5">
        <w:tc>
          <w:tcPr>
            <w:tcW w:w="2127" w:type="dxa"/>
            <w:vMerge w:val="restart"/>
            <w:shd w:val="clear" w:color="auto" w:fill="auto"/>
            <w:tcMar>
              <w:top w:w="0" w:type="dxa"/>
              <w:left w:w="0" w:type="dxa"/>
              <w:bottom w:w="0" w:type="dxa"/>
              <w:right w:w="0" w:type="dxa"/>
            </w:tcMar>
            <w:vAlign w:val="center"/>
          </w:tcPr>
          <w:p w:rsidR="00EF72B5" w:rsidRDefault="00A81E1B">
            <w:pPr>
              <w:spacing w:line="240" w:lineRule="auto"/>
            </w:pPr>
            <w:r>
              <w:rPr>
                <w:noProof/>
              </w:rPr>
              <w:drawing>
                <wp:inline distT="0" distB="0" distL="0" distR="0">
                  <wp:extent cx="1213649" cy="1620000"/>
                  <wp:effectExtent l="0" t="0" r="5715" b="0"/>
                  <wp:docPr id="2" name="Grafik 2" descr="https://www.klett.de/web/uploads/assets/f1/f1c288e2/Pontes_62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ett.de/web/uploads/assets/f1/f1c288e2/Pontes_6223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649" cy="1620000"/>
                          </a:xfrm>
                          <a:prstGeom prst="rect">
                            <a:avLst/>
                          </a:prstGeom>
                          <a:noFill/>
                          <a:ln>
                            <a:noFill/>
                          </a:ln>
                        </pic:spPr>
                      </pic:pic>
                    </a:graphicData>
                  </a:graphic>
                </wp:inline>
              </w:drawing>
            </w:r>
          </w:p>
        </w:tc>
        <w:tc>
          <w:tcPr>
            <w:tcW w:w="6945" w:type="dxa"/>
            <w:gridSpan w:val="2"/>
            <w:shd w:val="clear" w:color="auto" w:fill="auto"/>
            <w:tcMar>
              <w:top w:w="57" w:type="dxa"/>
              <w:left w:w="108" w:type="dxa"/>
              <w:bottom w:w="57" w:type="dxa"/>
              <w:right w:w="108" w:type="dxa"/>
            </w:tcMar>
            <w:vAlign w:val="center"/>
          </w:tcPr>
          <w:p w:rsidR="00EF72B5" w:rsidRDefault="00A81E1B">
            <w:r>
              <w:rPr>
                <w:b/>
                <w:color w:val="000080"/>
                <w:sz w:val="28"/>
              </w:rPr>
              <w:t>Stoffverteilungs- und Arbeitsplan für Niedersachsen</w:t>
            </w:r>
          </w:p>
        </w:tc>
      </w:tr>
      <w:tr w:rsidR="00EF72B5">
        <w:tc>
          <w:tcPr>
            <w:tcW w:w="2127" w:type="dxa"/>
            <w:vMerge/>
            <w:shd w:val="clear" w:color="auto" w:fill="auto"/>
            <w:tcMar>
              <w:top w:w="57" w:type="dxa"/>
              <w:left w:w="108" w:type="dxa"/>
              <w:bottom w:w="57" w:type="dxa"/>
              <w:right w:w="108" w:type="dxa"/>
            </w:tcMar>
          </w:tcPr>
          <w:p w:rsidR="00EF72B5" w:rsidRDefault="00EF72B5"/>
        </w:tc>
        <w:tc>
          <w:tcPr>
            <w:tcW w:w="3402" w:type="dxa"/>
            <w:shd w:val="clear" w:color="auto" w:fill="auto"/>
            <w:tcMar>
              <w:top w:w="57" w:type="dxa"/>
              <w:left w:w="108" w:type="dxa"/>
              <w:bottom w:w="57" w:type="dxa"/>
              <w:right w:w="108" w:type="dxa"/>
            </w:tcMar>
          </w:tcPr>
          <w:p w:rsidR="00EF72B5" w:rsidRDefault="00EF72B5"/>
        </w:tc>
        <w:tc>
          <w:tcPr>
            <w:tcW w:w="3543" w:type="dxa"/>
            <w:tcMar>
              <w:top w:w="57" w:type="dxa"/>
              <w:left w:w="108" w:type="dxa"/>
              <w:bottom w:w="57" w:type="dxa"/>
              <w:right w:w="108" w:type="dxa"/>
            </w:tcMar>
          </w:tcPr>
          <w:p w:rsidR="00EF72B5" w:rsidRDefault="00EF72B5"/>
        </w:tc>
      </w:tr>
      <w:tr w:rsidR="00EF72B5">
        <w:tc>
          <w:tcPr>
            <w:tcW w:w="2127" w:type="dxa"/>
            <w:vMerge/>
            <w:shd w:val="clear" w:color="auto" w:fill="auto"/>
            <w:tcMar>
              <w:top w:w="57" w:type="dxa"/>
              <w:left w:w="108" w:type="dxa"/>
              <w:bottom w:w="57" w:type="dxa"/>
              <w:right w:w="108" w:type="dxa"/>
            </w:tcMar>
          </w:tcPr>
          <w:p w:rsidR="00EF72B5" w:rsidRDefault="00EF72B5"/>
        </w:tc>
        <w:tc>
          <w:tcPr>
            <w:tcW w:w="3402" w:type="dxa"/>
            <w:shd w:val="clear" w:color="auto" w:fill="auto"/>
            <w:tcMar>
              <w:top w:w="57" w:type="dxa"/>
              <w:left w:w="108" w:type="dxa"/>
              <w:bottom w:w="57" w:type="dxa"/>
              <w:right w:w="108" w:type="dxa"/>
            </w:tcMar>
          </w:tcPr>
          <w:p w:rsidR="00EF72B5" w:rsidRDefault="00A81E1B">
            <w:pPr>
              <w:rPr>
                <w:sz w:val="24"/>
              </w:rPr>
            </w:pPr>
            <w:r>
              <w:rPr>
                <w:b/>
                <w:color w:val="000080"/>
                <w:sz w:val="28"/>
              </w:rPr>
              <w:t>Pontes</w:t>
            </w:r>
          </w:p>
        </w:tc>
        <w:tc>
          <w:tcPr>
            <w:tcW w:w="3543" w:type="dxa"/>
            <w:tcMar>
              <w:top w:w="57" w:type="dxa"/>
              <w:left w:w="108" w:type="dxa"/>
              <w:bottom w:w="57" w:type="dxa"/>
              <w:right w:w="108" w:type="dxa"/>
            </w:tcMar>
          </w:tcPr>
          <w:p w:rsidR="00EF72B5" w:rsidRDefault="00EF72B5">
            <w:pPr>
              <w:rPr>
                <w:sz w:val="24"/>
              </w:rPr>
            </w:pPr>
          </w:p>
        </w:tc>
      </w:tr>
      <w:tr w:rsidR="00EF72B5">
        <w:tc>
          <w:tcPr>
            <w:tcW w:w="2127" w:type="dxa"/>
            <w:vMerge/>
            <w:shd w:val="clear" w:color="auto" w:fill="auto"/>
            <w:tcMar>
              <w:top w:w="57" w:type="dxa"/>
              <w:left w:w="108" w:type="dxa"/>
              <w:bottom w:w="57" w:type="dxa"/>
              <w:right w:w="108" w:type="dxa"/>
            </w:tcMar>
          </w:tcPr>
          <w:p w:rsidR="00EF72B5" w:rsidRDefault="00EF72B5"/>
        </w:tc>
        <w:tc>
          <w:tcPr>
            <w:tcW w:w="3402" w:type="dxa"/>
            <w:shd w:val="clear" w:color="auto" w:fill="auto"/>
            <w:tcMar>
              <w:top w:w="57" w:type="dxa"/>
              <w:left w:w="108" w:type="dxa"/>
              <w:bottom w:w="57" w:type="dxa"/>
              <w:right w:w="108" w:type="dxa"/>
            </w:tcMar>
          </w:tcPr>
          <w:p w:rsidR="00EF72B5" w:rsidRDefault="00A81E1B">
            <w:pPr>
              <w:rPr>
                <w:sz w:val="24"/>
              </w:rPr>
            </w:pPr>
            <w:r>
              <w:rPr>
                <w:sz w:val="24"/>
              </w:rPr>
              <w:t>Band 2</w:t>
            </w:r>
          </w:p>
        </w:tc>
        <w:tc>
          <w:tcPr>
            <w:tcW w:w="3543" w:type="dxa"/>
            <w:tcMar>
              <w:top w:w="57" w:type="dxa"/>
              <w:left w:w="108" w:type="dxa"/>
              <w:bottom w:w="57" w:type="dxa"/>
              <w:right w:w="108" w:type="dxa"/>
            </w:tcMar>
          </w:tcPr>
          <w:p w:rsidR="00EF72B5" w:rsidRDefault="00A81E1B">
            <w:pPr>
              <w:tabs>
                <w:tab w:val="left" w:pos="1185"/>
              </w:tabs>
              <w:rPr>
                <w:sz w:val="24"/>
              </w:rPr>
            </w:pPr>
            <w:r>
              <w:rPr>
                <w:sz w:val="24"/>
              </w:rPr>
              <w:t>Schule:</w:t>
            </w:r>
            <w:r>
              <w:rPr>
                <w:sz w:val="24"/>
              </w:rPr>
              <w:tab/>
            </w:r>
          </w:p>
        </w:tc>
      </w:tr>
      <w:tr w:rsidR="00EF72B5">
        <w:tc>
          <w:tcPr>
            <w:tcW w:w="2127" w:type="dxa"/>
            <w:vMerge/>
            <w:shd w:val="clear" w:color="auto" w:fill="auto"/>
            <w:tcMar>
              <w:top w:w="57" w:type="dxa"/>
              <w:left w:w="108" w:type="dxa"/>
              <w:bottom w:w="57" w:type="dxa"/>
              <w:right w:w="108" w:type="dxa"/>
            </w:tcMar>
          </w:tcPr>
          <w:p w:rsidR="00EF72B5" w:rsidRDefault="00EF72B5"/>
        </w:tc>
        <w:tc>
          <w:tcPr>
            <w:tcW w:w="3402" w:type="dxa"/>
            <w:shd w:val="clear" w:color="auto" w:fill="auto"/>
            <w:tcMar>
              <w:top w:w="57" w:type="dxa"/>
              <w:left w:w="108" w:type="dxa"/>
              <w:bottom w:w="57" w:type="dxa"/>
              <w:right w:w="108" w:type="dxa"/>
            </w:tcMar>
          </w:tcPr>
          <w:p w:rsidR="00EF72B5" w:rsidRDefault="00A81E1B">
            <w:r>
              <w:rPr>
                <w:sz w:val="24"/>
              </w:rPr>
              <w:t>978-3-12-622311-9</w:t>
            </w:r>
          </w:p>
        </w:tc>
        <w:tc>
          <w:tcPr>
            <w:tcW w:w="3543" w:type="dxa"/>
            <w:tcMar>
              <w:top w:w="57" w:type="dxa"/>
              <w:left w:w="108" w:type="dxa"/>
              <w:bottom w:w="57" w:type="dxa"/>
              <w:right w:w="108" w:type="dxa"/>
            </w:tcMar>
          </w:tcPr>
          <w:p w:rsidR="00EF72B5" w:rsidRDefault="00A81E1B">
            <w:pPr>
              <w:tabs>
                <w:tab w:val="left" w:pos="1185"/>
              </w:tabs>
              <w:rPr>
                <w:sz w:val="24"/>
              </w:rPr>
            </w:pPr>
            <w:r>
              <w:rPr>
                <w:sz w:val="24"/>
              </w:rPr>
              <w:t>Lehrkraft:</w:t>
            </w:r>
            <w:r>
              <w:rPr>
                <w:sz w:val="24"/>
              </w:rPr>
              <w:tab/>
            </w:r>
          </w:p>
        </w:tc>
      </w:tr>
    </w:tbl>
    <w:p w:rsidR="00EF72B5" w:rsidRDefault="00EF72B5"/>
    <w:p w:rsidR="00EF72B5" w:rsidRDefault="00EF72B5"/>
    <w:p w:rsidR="00EF72B5" w:rsidRDefault="00EF72B5"/>
    <w:p w:rsidR="00EF72B5" w:rsidRDefault="00A81E1B">
      <w:pPr>
        <w:spacing w:after="120" w:line="240" w:lineRule="auto"/>
        <w:rPr>
          <w:b/>
          <w:sz w:val="24"/>
        </w:rPr>
      </w:pPr>
      <w:r>
        <w:rPr>
          <w:b/>
          <w:color w:val="000080"/>
          <w:sz w:val="24"/>
        </w:rPr>
        <w:t>Vorbemerkungen</w:t>
      </w:r>
    </w:p>
    <w:p w:rsidR="00EF72B5" w:rsidRDefault="00A81E1B">
      <w:pPr>
        <w:numPr>
          <w:ilvl w:val="0"/>
          <w:numId w:val="2"/>
        </w:numPr>
        <w:spacing w:before="60"/>
        <w:rPr>
          <w:szCs w:val="20"/>
        </w:rPr>
      </w:pPr>
      <w:r>
        <w:rPr>
          <w:szCs w:val="20"/>
        </w:rPr>
        <w:t>Die Beschreibung der einzelnen Kompetenzen folgt</w:t>
      </w:r>
      <w:r>
        <w:rPr>
          <w:szCs w:val="20"/>
        </w:rPr>
        <w:t xml:space="preserve"> zumeist wörtlich – in einigen Fällen mit kontextbedingten Kürzungen – dem niedersächsischen Kerncurriculum (KC) für das Unterrichtsfach Latein in den Schuljahrgängen 5–10 des Gymnasiums (2008).</w:t>
      </w:r>
    </w:p>
    <w:p w:rsidR="00EF72B5" w:rsidRDefault="00A81E1B">
      <w:pPr>
        <w:numPr>
          <w:ilvl w:val="0"/>
          <w:numId w:val="2"/>
        </w:numPr>
        <w:spacing w:before="60"/>
        <w:rPr>
          <w:szCs w:val="20"/>
        </w:rPr>
      </w:pPr>
      <w:r>
        <w:rPr>
          <w:szCs w:val="20"/>
        </w:rPr>
        <w:t xml:space="preserve">Zu den einzelnen Lektionen werden nur diejenigen Kompetenzen </w:t>
      </w:r>
      <w:r>
        <w:rPr>
          <w:szCs w:val="20"/>
        </w:rPr>
        <w:t>aufgeführt, die dort schwerpunktmäßig erworben oder erweitert werden, z.</w:t>
      </w:r>
      <w:r>
        <w:rPr>
          <w:sz w:val="14"/>
          <w:szCs w:val="20"/>
        </w:rPr>
        <w:t> </w:t>
      </w:r>
      <w:r>
        <w:rPr>
          <w:szCs w:val="20"/>
        </w:rPr>
        <w:t>B. durch die Einführung eines neuen Grammatikstoffs oder durch die Thematik der Lese- und Sachinfotexte. Eine schematische Vollständigkeit ist hier nicht beabsichtigt, um die Tabellen</w:t>
      </w:r>
      <w:r>
        <w:rPr>
          <w:szCs w:val="20"/>
        </w:rPr>
        <w:t xml:space="preserve"> überschaubar zu halten.</w:t>
      </w:r>
    </w:p>
    <w:p w:rsidR="00EF72B5" w:rsidRDefault="00A81E1B">
      <w:pPr>
        <w:numPr>
          <w:ilvl w:val="0"/>
          <w:numId w:val="2"/>
        </w:numPr>
        <w:spacing w:before="60"/>
        <w:rPr>
          <w:szCs w:val="20"/>
        </w:rPr>
      </w:pPr>
      <w:r>
        <w:rPr>
          <w:szCs w:val="20"/>
        </w:rPr>
        <w:t>Zahlreiche im KC erwähnte Kompetenzen sind nicht an bestimmte grammatische oder thematische Phänomene gebunden, sondern werden mehr oder weniger in jeder Lateinstunde geschult und sukzessive erweitert (z.</w:t>
      </w:r>
      <w:r>
        <w:rPr>
          <w:sz w:val="14"/>
          <w:szCs w:val="20"/>
        </w:rPr>
        <w:t> </w:t>
      </w:r>
      <w:r>
        <w:rPr>
          <w:szCs w:val="20"/>
        </w:rPr>
        <w:t>B. korrekte Aussprache, An</w:t>
      </w:r>
      <w:r>
        <w:rPr>
          <w:szCs w:val="20"/>
        </w:rPr>
        <w:t>wendung von Regelwissen, Darstellung von gemeinsam Erarbeitetem). Sie sind auf S.</w:t>
      </w:r>
      <w:r>
        <w:rPr>
          <w:sz w:val="14"/>
          <w:szCs w:val="20"/>
        </w:rPr>
        <w:t> </w:t>
      </w:r>
      <w:r>
        <w:rPr>
          <w:szCs w:val="20"/>
        </w:rPr>
        <w:t>3</w:t>
      </w:r>
      <w:r>
        <w:rPr>
          <w:sz w:val="14"/>
          <w:szCs w:val="20"/>
        </w:rPr>
        <w:t> </w:t>
      </w:r>
      <w:r>
        <w:rPr>
          <w:szCs w:val="20"/>
        </w:rPr>
        <w:t xml:space="preserve">f. des vorliegenden Plans dem gesamten Band 2 </w:t>
      </w:r>
      <w:r>
        <w:rPr>
          <w:i/>
          <w:szCs w:val="20"/>
        </w:rPr>
        <w:t>passim</w:t>
      </w:r>
      <w:r>
        <w:rPr>
          <w:szCs w:val="20"/>
        </w:rPr>
        <w:t xml:space="preserve"> zugeordnet und werden im Folgenden nur dann noch einmal explizit erwähnt, wenn sie in einer Lektion unter einem bestimm</w:t>
      </w:r>
      <w:r>
        <w:rPr>
          <w:szCs w:val="20"/>
        </w:rPr>
        <w:t>ten Aspekt wichtig sind.</w:t>
      </w:r>
    </w:p>
    <w:p w:rsidR="00EF72B5" w:rsidRDefault="00A81E1B">
      <w:pPr>
        <w:numPr>
          <w:ilvl w:val="0"/>
          <w:numId w:val="2"/>
        </w:numPr>
        <w:spacing w:before="60"/>
        <w:rPr>
          <w:szCs w:val="20"/>
        </w:rPr>
      </w:pPr>
      <w:r>
        <w:rPr>
          <w:szCs w:val="20"/>
        </w:rPr>
        <w:t>Die mit (+) bezeichneten Kompetenzen und Inhalte gehören nicht zum Pflichtprogramm des niedersächsischen KC bis zum Ende der Jahrgangsstufe 8, resultieren aber aus allgemeinen didaktischen Überlegungen oder aus Vorgaben anderer Bun</w:t>
      </w:r>
      <w:r>
        <w:rPr>
          <w:szCs w:val="20"/>
        </w:rPr>
        <w:t>desländer. Sie sollten an dieser Stelle zumindest grundlegend vermittelt werden.</w:t>
      </w:r>
    </w:p>
    <w:p w:rsidR="00EF72B5" w:rsidRDefault="00EF72B5"/>
    <w:p w:rsidR="00EF72B5" w:rsidRDefault="00EF72B5"/>
    <w:p w:rsidR="00EF72B5" w:rsidRDefault="00EF72B5"/>
    <w:p w:rsidR="00EF72B5" w:rsidRDefault="00A81E1B">
      <w:pPr>
        <w:spacing w:after="120" w:line="240" w:lineRule="auto"/>
        <w:rPr>
          <w:b/>
          <w:sz w:val="24"/>
        </w:rPr>
      </w:pPr>
      <w:r>
        <w:rPr>
          <w:b/>
          <w:color w:val="000080"/>
          <w:sz w:val="24"/>
        </w:rPr>
        <w:t>Übersicht über die zu vermittelnden Kompetenzen (Auszug aus dem niedersächsischen KC)</w:t>
      </w:r>
    </w:p>
    <w:p w:rsidR="00EF72B5" w:rsidRDefault="00A81E1B">
      <w:pPr>
        <w:rPr>
          <w:b/>
          <w:color w:val="CC0066"/>
        </w:rPr>
      </w:pPr>
      <w:r>
        <w:rPr>
          <w:b/>
          <w:color w:val="CC0066"/>
        </w:rPr>
        <w:t>1. Sprachkompetenz</w:t>
      </w:r>
    </w:p>
    <w:p w:rsidR="00EF72B5" w:rsidRDefault="00A81E1B">
      <w:pPr>
        <w:tabs>
          <w:tab w:val="left" w:pos="227"/>
        </w:tabs>
        <w:spacing w:before="60"/>
        <w:rPr>
          <w:b/>
          <w:szCs w:val="20"/>
        </w:rPr>
      </w:pPr>
      <w:r>
        <w:rPr>
          <w:b/>
          <w:szCs w:val="20"/>
        </w:rPr>
        <w:t>a)</w:t>
      </w:r>
      <w:r>
        <w:rPr>
          <w:b/>
          <w:szCs w:val="20"/>
        </w:rPr>
        <w:tab/>
        <w:t>Latein als Fremdsprache: Latein lernen</w:t>
      </w:r>
    </w:p>
    <w:p w:rsidR="00EF72B5" w:rsidRDefault="00A81E1B">
      <w:pPr>
        <w:spacing w:before="60"/>
        <w:rPr>
          <w:szCs w:val="20"/>
        </w:rPr>
      </w:pPr>
      <w:r>
        <w:rPr>
          <w:szCs w:val="20"/>
        </w:rPr>
        <w:t>Die Schülerinnen und Schü</w:t>
      </w:r>
      <w:r>
        <w:rPr>
          <w:szCs w:val="20"/>
        </w:rPr>
        <w:t xml:space="preserve">ler lernen die lateinische Sprache als ein wohlgeordnetes System kennen, in </w:t>
      </w:r>
      <w:proofErr w:type="gramStart"/>
      <w:r>
        <w:rPr>
          <w:szCs w:val="20"/>
        </w:rPr>
        <w:t>welchem Wörter</w:t>
      </w:r>
      <w:proofErr w:type="gramEnd"/>
      <w:r>
        <w:rPr>
          <w:szCs w:val="20"/>
        </w:rPr>
        <w:t xml:space="preserve"> nicht isoliert, sondern in einer semantischen und formalen Beziehung zueinander stehen.</w:t>
      </w:r>
    </w:p>
    <w:p w:rsidR="00EF72B5" w:rsidRDefault="00A81E1B">
      <w:pPr>
        <w:numPr>
          <w:ilvl w:val="0"/>
          <w:numId w:val="2"/>
        </w:numPr>
        <w:spacing w:before="60"/>
        <w:rPr>
          <w:szCs w:val="20"/>
        </w:rPr>
      </w:pPr>
      <w:r>
        <w:rPr>
          <w:b/>
          <w:color w:val="008000"/>
          <w:szCs w:val="20"/>
        </w:rPr>
        <w:t xml:space="preserve">Lexik: </w:t>
      </w:r>
      <w:r>
        <w:rPr>
          <w:szCs w:val="20"/>
        </w:rPr>
        <w:t>Die Schülerinnen und Schüler verfügen über einen lateinischen Grundwor</w:t>
      </w:r>
      <w:r>
        <w:rPr>
          <w:szCs w:val="20"/>
        </w:rPr>
        <w:t>tschatz. Indem sie Bedeutungen aus dem Kontext differenzieren sowie sich sukzessive ein metasprachliches Vokabular aneignen, erweitern sie ihren Wortschatz und ihre Ausdrucksfähigkeit im Deutschen.</w:t>
      </w:r>
    </w:p>
    <w:p w:rsidR="00EF72B5" w:rsidRDefault="00A81E1B">
      <w:pPr>
        <w:numPr>
          <w:ilvl w:val="0"/>
          <w:numId w:val="2"/>
        </w:numPr>
        <w:spacing w:before="60"/>
        <w:rPr>
          <w:szCs w:val="20"/>
        </w:rPr>
      </w:pPr>
      <w:r>
        <w:rPr>
          <w:b/>
          <w:color w:val="008000"/>
          <w:szCs w:val="20"/>
        </w:rPr>
        <w:t xml:space="preserve">Morphologie: </w:t>
      </w:r>
      <w:r>
        <w:rPr>
          <w:szCs w:val="20"/>
        </w:rPr>
        <w:t xml:space="preserve">Ausgehend von der Beherrschung der </w:t>
      </w:r>
      <w:r>
        <w:rPr>
          <w:b/>
          <w:szCs w:val="20"/>
        </w:rPr>
        <w:t>Einzelform</w:t>
      </w:r>
      <w:r>
        <w:rPr>
          <w:b/>
          <w:szCs w:val="20"/>
        </w:rPr>
        <w:t>en</w:t>
      </w:r>
      <w:r>
        <w:rPr>
          <w:szCs w:val="20"/>
        </w:rPr>
        <w:t xml:space="preserve">, die in sinnvolle </w:t>
      </w:r>
      <w:r>
        <w:rPr>
          <w:b/>
          <w:szCs w:val="20"/>
        </w:rPr>
        <w:t>Ordnungsrahmen</w:t>
      </w:r>
      <w:r>
        <w:rPr>
          <w:szCs w:val="20"/>
        </w:rPr>
        <w:t xml:space="preserve"> (Paradigmen) eingefügt sind, erkennen die Schülerinnen und Schüler das </w:t>
      </w:r>
      <w:r>
        <w:rPr>
          <w:b/>
          <w:szCs w:val="20"/>
        </w:rPr>
        <w:t>Gesamtsystem</w:t>
      </w:r>
      <w:r>
        <w:rPr>
          <w:szCs w:val="20"/>
        </w:rPr>
        <w:t xml:space="preserve"> der Formen als </w:t>
      </w:r>
      <w:r>
        <w:rPr>
          <w:b/>
          <w:szCs w:val="20"/>
        </w:rPr>
        <w:t>regelhaftes Ordnungsgefüge.</w:t>
      </w:r>
    </w:p>
    <w:p w:rsidR="00EF72B5" w:rsidRDefault="00A81E1B">
      <w:pPr>
        <w:numPr>
          <w:ilvl w:val="0"/>
          <w:numId w:val="2"/>
        </w:numPr>
        <w:spacing w:before="60"/>
        <w:rPr>
          <w:szCs w:val="20"/>
        </w:rPr>
      </w:pPr>
      <w:r>
        <w:rPr>
          <w:b/>
          <w:color w:val="008000"/>
          <w:szCs w:val="20"/>
        </w:rPr>
        <w:t xml:space="preserve">Syntax: </w:t>
      </w:r>
      <w:r>
        <w:rPr>
          <w:szCs w:val="20"/>
        </w:rPr>
        <w:t xml:space="preserve">Die Schülerinnen und Schüler erfassen die lateinische Syntax als ein geschlossenes und überschaubares </w:t>
      </w:r>
      <w:r>
        <w:rPr>
          <w:b/>
          <w:szCs w:val="20"/>
        </w:rPr>
        <w:t>System</w:t>
      </w:r>
      <w:r>
        <w:rPr>
          <w:szCs w:val="20"/>
        </w:rPr>
        <w:t xml:space="preserve">. Mit Hilfe eines </w:t>
      </w:r>
      <w:r>
        <w:rPr>
          <w:b/>
          <w:szCs w:val="20"/>
        </w:rPr>
        <w:t xml:space="preserve">Satzmodells </w:t>
      </w:r>
      <w:r>
        <w:rPr>
          <w:szCs w:val="20"/>
        </w:rPr>
        <w:t>systematisieren sie die Satzglieder und deren Füllungsarten. Sie führen die zahlreichen sprachlichen Erscheinungen auf</w:t>
      </w:r>
      <w:r>
        <w:rPr>
          <w:szCs w:val="20"/>
        </w:rPr>
        <w:t xml:space="preserve"> wenige Prinzipien zurück, so dass ihnen das </w:t>
      </w:r>
      <w:r>
        <w:rPr>
          <w:b/>
          <w:szCs w:val="20"/>
        </w:rPr>
        <w:t>Baukastenprinzip</w:t>
      </w:r>
      <w:r>
        <w:rPr>
          <w:szCs w:val="20"/>
        </w:rPr>
        <w:t xml:space="preserve"> der lateinischen Sprache deutlich wird.</w:t>
      </w:r>
    </w:p>
    <w:p w:rsidR="00EF72B5" w:rsidRDefault="00A81E1B">
      <w:pPr>
        <w:numPr>
          <w:ilvl w:val="0"/>
          <w:numId w:val="2"/>
        </w:numPr>
        <w:spacing w:before="60"/>
        <w:rPr>
          <w:szCs w:val="20"/>
        </w:rPr>
      </w:pPr>
      <w:r>
        <w:rPr>
          <w:b/>
          <w:color w:val="008000"/>
          <w:szCs w:val="20"/>
        </w:rPr>
        <w:t xml:space="preserve">Latein als Verständigungsmittel: </w:t>
      </w:r>
      <w:r>
        <w:rPr>
          <w:szCs w:val="20"/>
        </w:rPr>
        <w:t>Anders als im Unterricht in den modernen Fremdsprachen wird im Lateinunterricht eine aktive lateinische Sprachkompetenz n</w:t>
      </w:r>
      <w:r>
        <w:rPr>
          <w:szCs w:val="20"/>
        </w:rPr>
        <w:t xml:space="preserve">icht angestrebt (didaktisch-methodisches Prinzip </w:t>
      </w:r>
      <w:r>
        <w:rPr>
          <w:szCs w:val="20"/>
        </w:rPr>
        <w:lastRenderedPageBreak/>
        <w:t>der Zweisprachigkeit). Die Schülerinnen und Schüler erwerben jedoch spezifisch auf die lateinische Sprache bezogene kommunikative Kompetenzen (phonologische Kompetenz, rezeptive Kompetenz). Die Produktion ku</w:t>
      </w:r>
      <w:r>
        <w:rPr>
          <w:szCs w:val="20"/>
        </w:rPr>
        <w:t xml:space="preserve">rzer Wendungen und Sätze auf Latein stillt das Bedürfnis besonders jüngerer Lateinschülerinnen und </w:t>
      </w:r>
      <w:r>
        <w:rPr>
          <w:szCs w:val="20"/>
        </w:rPr>
        <w:br/>
        <w:t>-schüler, Latein auch zu „sprechen“.</w:t>
      </w:r>
    </w:p>
    <w:p w:rsidR="00EF72B5" w:rsidRDefault="00A81E1B">
      <w:pPr>
        <w:tabs>
          <w:tab w:val="left" w:pos="227"/>
        </w:tabs>
        <w:spacing w:before="60"/>
        <w:rPr>
          <w:b/>
          <w:szCs w:val="20"/>
        </w:rPr>
      </w:pPr>
      <w:r>
        <w:rPr>
          <w:b/>
          <w:szCs w:val="20"/>
        </w:rPr>
        <w:t>b)</w:t>
      </w:r>
      <w:r>
        <w:rPr>
          <w:b/>
          <w:szCs w:val="20"/>
        </w:rPr>
        <w:tab/>
        <w:t>Latein als Reflexionssprache: über Sprache nachdenken</w:t>
      </w:r>
    </w:p>
    <w:p w:rsidR="00EF72B5" w:rsidRDefault="00A81E1B">
      <w:pPr>
        <w:spacing w:before="60"/>
        <w:rPr>
          <w:szCs w:val="20"/>
        </w:rPr>
      </w:pPr>
      <w:r>
        <w:rPr>
          <w:szCs w:val="20"/>
        </w:rPr>
        <w:t>Die Schülerinnen und Schüler erkennen durch ständigen Vergleic</w:t>
      </w:r>
      <w:r>
        <w:rPr>
          <w:szCs w:val="20"/>
        </w:rPr>
        <w:t>h zwischen Latein und anderen europäischen Sprachen die Zusammengehörigkeit der Sprachen und Völker Europas. Durch diesen interdisziplinären Ansatz werden sie für ein grundlegendes Verständnis von Sprache sensibilisiert.</w:t>
      </w:r>
    </w:p>
    <w:p w:rsidR="00EF72B5" w:rsidRDefault="00EF72B5">
      <w:pPr>
        <w:rPr>
          <w:b/>
          <w:bCs/>
          <w:szCs w:val="20"/>
        </w:rPr>
      </w:pPr>
    </w:p>
    <w:p w:rsidR="00EF72B5" w:rsidRDefault="00A81E1B">
      <w:pPr>
        <w:rPr>
          <w:b/>
          <w:color w:val="CC0066"/>
        </w:rPr>
      </w:pPr>
      <w:r>
        <w:rPr>
          <w:b/>
          <w:color w:val="CC0066"/>
        </w:rPr>
        <w:t>2. Textkompetenz</w:t>
      </w:r>
    </w:p>
    <w:p w:rsidR="00EF72B5" w:rsidRDefault="00A81E1B">
      <w:pPr>
        <w:spacing w:before="60"/>
        <w:rPr>
          <w:szCs w:val="20"/>
        </w:rPr>
      </w:pPr>
      <w:r>
        <w:rPr>
          <w:szCs w:val="20"/>
        </w:rPr>
        <w:t>Die Texte, auf de</w:t>
      </w:r>
      <w:r>
        <w:rPr>
          <w:szCs w:val="20"/>
        </w:rPr>
        <w:t>ren Grundlage der Lateinunterricht der Schuljahrgänge 5 bis 8 erfolgt, sind Kunsttexte und adaptierte Originaltexte. Sie berücksichtigen verschiedene Textsorten und nehmen hinsichtlich sprachlicher Komplexität, Umfang und Nähe zum Original kontinuierlich z</w:t>
      </w:r>
      <w:r>
        <w:rPr>
          <w:szCs w:val="20"/>
        </w:rPr>
        <w:t>u. In den Schuljahrgängen 9 und 10 werden anhand originaler Texte weitergehende inhaltliche Fragestellungen sowie die Einheit von gedanklicher und künstlerischer Form erarbeitet. Die Auswahl der Texte orientiert sich an dem, was für die lateinische Literat</w:t>
      </w:r>
      <w:r>
        <w:rPr>
          <w:szCs w:val="20"/>
        </w:rPr>
        <w:t>ur und römische Kultur sowie für ihr Fortleben repräsentativ ist, erfolgt themen- und/oder problemorientiert und berücksichtigt dabei Alter und Lernstand der Schülerinnen und Schüler.</w:t>
      </w:r>
    </w:p>
    <w:p w:rsidR="00EF72B5" w:rsidRDefault="00A81E1B">
      <w:pPr>
        <w:numPr>
          <w:ilvl w:val="0"/>
          <w:numId w:val="2"/>
        </w:numPr>
        <w:spacing w:before="60"/>
        <w:rPr>
          <w:bCs/>
          <w:i/>
          <w:szCs w:val="20"/>
        </w:rPr>
      </w:pPr>
      <w:r>
        <w:rPr>
          <w:b/>
          <w:color w:val="008000"/>
          <w:szCs w:val="20"/>
        </w:rPr>
        <w:t xml:space="preserve">Erschließen: </w:t>
      </w:r>
      <w:r>
        <w:rPr>
          <w:bCs/>
          <w:szCs w:val="20"/>
        </w:rPr>
        <w:t xml:space="preserve">Die </w:t>
      </w:r>
      <w:r>
        <w:rPr>
          <w:szCs w:val="20"/>
        </w:rPr>
        <w:t>Schülerinnen</w:t>
      </w:r>
      <w:r>
        <w:rPr>
          <w:bCs/>
          <w:szCs w:val="20"/>
        </w:rPr>
        <w:t xml:space="preserve"> und Schüler analysieren einen Text semanti</w:t>
      </w:r>
      <w:r>
        <w:rPr>
          <w:bCs/>
          <w:szCs w:val="20"/>
        </w:rPr>
        <w:t>sch und syntaktisch, so dass sie wesentliche Elemente seiner Struktur und seines Inhalts erkennen.</w:t>
      </w:r>
    </w:p>
    <w:p w:rsidR="00EF72B5" w:rsidRDefault="00A81E1B">
      <w:pPr>
        <w:numPr>
          <w:ilvl w:val="0"/>
          <w:numId w:val="2"/>
        </w:numPr>
        <w:spacing w:before="60"/>
      </w:pPr>
      <w:r>
        <w:rPr>
          <w:b/>
          <w:color w:val="008000"/>
          <w:szCs w:val="20"/>
        </w:rPr>
        <w:t xml:space="preserve">Übersetzen: </w:t>
      </w:r>
      <w:r>
        <w:rPr>
          <w:szCs w:val="20"/>
        </w:rPr>
        <w:t>Übersetzen</w:t>
      </w:r>
      <w:r>
        <w:t xml:space="preserve"> ist ein anspruchsvoller kreativer Vorgang. Die Schülerinnen und Schüler erarbeiten in diesem Prozess eine erste – sehr eng am Original</w:t>
      </w:r>
      <w:r>
        <w:t xml:space="preserve"> orientierte – Arbeitsübersetzung und formen sie nach einer sprachlichen und inhaltlichen Klärung zu einer zielsprachlich angemessenen Übersetzung („gute Übersetzung“) aus. Die Ergebnisse der Interpretation können letztlich in eine interpretierende Wiederg</w:t>
      </w:r>
      <w:r>
        <w:t>abe münden.</w:t>
      </w:r>
    </w:p>
    <w:p w:rsidR="00EF72B5" w:rsidRDefault="00A81E1B">
      <w:pPr>
        <w:numPr>
          <w:ilvl w:val="0"/>
          <w:numId w:val="2"/>
        </w:numPr>
        <w:spacing w:before="60"/>
        <w:rPr>
          <w:szCs w:val="20"/>
        </w:rPr>
      </w:pPr>
      <w:r>
        <w:rPr>
          <w:b/>
          <w:color w:val="008000"/>
          <w:szCs w:val="20"/>
        </w:rPr>
        <w:t xml:space="preserve">Interpretieren: </w:t>
      </w:r>
      <w:r>
        <w:t>Die</w:t>
      </w:r>
      <w:r>
        <w:rPr>
          <w:szCs w:val="20"/>
        </w:rPr>
        <w:t xml:space="preserve"> Schülerinnen und Schüler erfassen lateinische Texte inhaltlich und formal und setzen sich kritisch mit ihnen auseinander.</w:t>
      </w:r>
    </w:p>
    <w:p w:rsidR="00EF72B5" w:rsidRDefault="00EF72B5"/>
    <w:p w:rsidR="00EF72B5" w:rsidRDefault="00A81E1B">
      <w:pPr>
        <w:rPr>
          <w:b/>
          <w:color w:val="CC0066"/>
        </w:rPr>
      </w:pPr>
      <w:r>
        <w:rPr>
          <w:b/>
          <w:color w:val="CC0066"/>
        </w:rPr>
        <w:t>3. Kulturkompetenz</w:t>
      </w:r>
    </w:p>
    <w:p w:rsidR="00EF72B5" w:rsidRDefault="00A81E1B">
      <w:pPr>
        <w:spacing w:before="60"/>
        <w:rPr>
          <w:bCs/>
          <w:szCs w:val="20"/>
        </w:rPr>
      </w:pPr>
      <w:r>
        <w:rPr>
          <w:szCs w:val="20"/>
        </w:rPr>
        <w:t>Die Schülerinnen und Schüler gewinnen eine exemplarisch vertiefte Vertrautheit mit</w:t>
      </w:r>
      <w:r>
        <w:rPr>
          <w:szCs w:val="20"/>
        </w:rPr>
        <w:t xml:space="preserve"> den sachlich-lebensweltlichen und kulturell-künstlerischen Kontexten lateinischer Literatur, so dass sie sachgerechte Fragestellungen, innere Einstellungen, reflektierte Werthaltungen entwickeln und kritisch-konstruktiv mit der eigenen Lebenswelt umgehen </w:t>
      </w:r>
      <w:r>
        <w:rPr>
          <w:szCs w:val="20"/>
        </w:rPr>
        <w:t>können.</w:t>
      </w:r>
    </w:p>
    <w:p w:rsidR="00EF72B5" w:rsidRDefault="00A81E1B">
      <w:pPr>
        <w:numPr>
          <w:ilvl w:val="0"/>
          <w:numId w:val="2"/>
        </w:numPr>
        <w:spacing w:before="60"/>
        <w:rPr>
          <w:szCs w:val="20"/>
        </w:rPr>
      </w:pPr>
      <w:r>
        <w:rPr>
          <w:b/>
          <w:color w:val="008000"/>
          <w:szCs w:val="20"/>
        </w:rPr>
        <w:t>Fakten- und Sachwissen:</w:t>
      </w:r>
      <w:r>
        <w:rPr>
          <w:b/>
          <w:szCs w:val="20"/>
        </w:rPr>
        <w:t xml:space="preserve"> </w:t>
      </w:r>
      <w:r>
        <w:rPr>
          <w:szCs w:val="20"/>
        </w:rPr>
        <w:t>Die Schülerinnen und Schüler orientieren sich im griechisch-römischen Kulturraum und stellen Einzelheiten, Strukturen und Phänomene der behandelten Inhaltsbereiche im historischen Kontext sachgerecht dar.</w:t>
      </w:r>
    </w:p>
    <w:p w:rsidR="00EF72B5" w:rsidRDefault="00A81E1B">
      <w:pPr>
        <w:numPr>
          <w:ilvl w:val="0"/>
          <w:numId w:val="2"/>
        </w:numPr>
        <w:spacing w:before="60"/>
        <w:rPr>
          <w:b/>
          <w:szCs w:val="20"/>
        </w:rPr>
      </w:pPr>
      <w:r>
        <w:rPr>
          <w:b/>
          <w:color w:val="008000"/>
          <w:szCs w:val="20"/>
        </w:rPr>
        <w:t xml:space="preserve">Historischer </w:t>
      </w:r>
      <w:r>
        <w:rPr>
          <w:b/>
          <w:color w:val="008000"/>
          <w:szCs w:val="20"/>
        </w:rPr>
        <w:t>Diskurs:</w:t>
      </w:r>
      <w:r>
        <w:rPr>
          <w:b/>
          <w:szCs w:val="20"/>
        </w:rPr>
        <w:t xml:space="preserve"> </w:t>
      </w:r>
      <w:r>
        <w:rPr>
          <w:bCs/>
          <w:szCs w:val="20"/>
        </w:rPr>
        <w:t>Die Schülerinnen und Schüler setzen sich mit der Welt der lateinischen Texte auseinander und stellen Ähnlichkeiten und Verschiedenheiten zu ihrer eigenen Lebenswelt fest.</w:t>
      </w:r>
    </w:p>
    <w:p w:rsidR="00EF72B5" w:rsidRDefault="00A81E1B">
      <w:pPr>
        <w:numPr>
          <w:ilvl w:val="0"/>
          <w:numId w:val="2"/>
        </w:numPr>
        <w:spacing w:before="60"/>
        <w:rPr>
          <w:szCs w:val="20"/>
        </w:rPr>
      </w:pPr>
      <w:r>
        <w:rPr>
          <w:b/>
          <w:color w:val="008000"/>
          <w:szCs w:val="20"/>
        </w:rPr>
        <w:t xml:space="preserve">Ethische Wertschätzung und existenzieller Transfer: </w:t>
      </w:r>
      <w:r>
        <w:rPr>
          <w:szCs w:val="20"/>
        </w:rPr>
        <w:t>Die Schülerinnen und Sch</w:t>
      </w:r>
      <w:r>
        <w:rPr>
          <w:szCs w:val="20"/>
        </w:rPr>
        <w:t>üler gewinnen anhand des römischen Wertesystems Einblick in die wechselseitige Abhängigkeit von Weltbild und Normen. Sie prüfen Werthaltungen kritisch.</w:t>
      </w:r>
    </w:p>
    <w:p w:rsidR="00EF72B5" w:rsidRDefault="00A81E1B">
      <w:pPr>
        <w:numPr>
          <w:ilvl w:val="0"/>
          <w:numId w:val="2"/>
        </w:numPr>
        <w:spacing w:before="60"/>
        <w:rPr>
          <w:bCs/>
          <w:szCs w:val="20"/>
        </w:rPr>
      </w:pPr>
      <w:r>
        <w:rPr>
          <w:b/>
          <w:color w:val="008000"/>
          <w:szCs w:val="20"/>
        </w:rPr>
        <w:t xml:space="preserve">Ästhetische Wertschätzung: </w:t>
      </w:r>
      <w:r>
        <w:rPr>
          <w:szCs w:val="20"/>
        </w:rPr>
        <w:t>Die Schülerinnen und Schüler nutzen Wesensmerkmale römischer Kunst zur Entwic</w:t>
      </w:r>
      <w:r>
        <w:rPr>
          <w:szCs w:val="20"/>
        </w:rPr>
        <w:t>klung ästhetischer Maßstäbe.</w:t>
      </w:r>
    </w:p>
    <w:p w:rsidR="00EF72B5" w:rsidRDefault="00A81E1B">
      <w:pPr>
        <w:numPr>
          <w:ilvl w:val="0"/>
          <w:numId w:val="2"/>
        </w:numPr>
        <w:spacing w:before="60"/>
        <w:rPr>
          <w:b/>
          <w:szCs w:val="20"/>
        </w:rPr>
      </w:pPr>
      <w:r>
        <w:rPr>
          <w:b/>
          <w:color w:val="008000"/>
          <w:szCs w:val="20"/>
        </w:rPr>
        <w:t xml:space="preserve">Rezeption und Tradition: </w:t>
      </w:r>
      <w:r>
        <w:rPr>
          <w:szCs w:val="20"/>
        </w:rPr>
        <w:t>Die Schülerinnen und Schüler nehmen das Weiterwirken der römischen Antike bewusst und kritisch wahr.</w:t>
      </w:r>
    </w:p>
    <w:p w:rsidR="00EF72B5" w:rsidRDefault="00EF72B5"/>
    <w:p w:rsidR="00EF72B5" w:rsidRDefault="00A81E1B">
      <w:r>
        <w:rPr>
          <w:szCs w:val="20"/>
        </w:rPr>
        <w:t xml:space="preserve">Die </w:t>
      </w:r>
      <w:r>
        <w:rPr>
          <w:b/>
          <w:color w:val="CC0066"/>
        </w:rPr>
        <w:t>fachspezifischen Methoden und Arbeitstechniken</w:t>
      </w:r>
      <w:r>
        <w:rPr>
          <w:szCs w:val="20"/>
        </w:rPr>
        <w:t xml:space="preserve"> werden in der Auseinandersetzung mit der Sprache </w:t>
      </w:r>
      <w:r>
        <w:rPr>
          <w:szCs w:val="20"/>
        </w:rPr>
        <w:t>und den Texten erlernt und angewendet. Sie sind daher integraler Bestandteil des fachbezogenen Kompetenzerwerbs.</w:t>
      </w:r>
    </w:p>
    <w:p w:rsidR="00EF72B5" w:rsidRDefault="00EF72B5"/>
    <w:p w:rsidR="00EF72B5" w:rsidRDefault="00A81E1B">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jc w:val="left"/>
              <w:rPr>
                <w:color w:val="3333CC"/>
              </w:rPr>
            </w:pPr>
            <w:r>
              <w:rPr>
                <w:b/>
                <w:color w:val="3333CC"/>
              </w:rPr>
              <w:lastRenderedPageBreak/>
              <w:t>Bd.</w:t>
            </w:r>
            <w:r>
              <w:rPr>
                <w:b/>
                <w:color w:val="3333CC"/>
                <w:sz w:val="14"/>
              </w:rPr>
              <w:t> </w:t>
            </w:r>
            <w:r>
              <w:rPr>
                <w:b/>
                <w:color w:val="3333CC"/>
              </w:rPr>
              <w:t>2 (L.</w:t>
            </w:r>
            <w:r>
              <w:rPr>
                <w:b/>
                <w:color w:val="3333CC"/>
                <w:sz w:val="14"/>
              </w:rPr>
              <w:t xml:space="preserve"> </w:t>
            </w:r>
            <w:r>
              <w:rPr>
                <w:b/>
                <w:color w:val="3333CC"/>
              </w:rPr>
              <w:t>14–25), passim</w:t>
            </w:r>
          </w:p>
          <w:p w:rsidR="00EF72B5" w:rsidRDefault="00EF72B5">
            <w:pPr>
              <w:spacing w:before="60"/>
              <w:jc w:val="left"/>
            </w:pPr>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spacing w:before="180"/>
              <w:jc w:val="left"/>
              <w:rPr>
                <w:b/>
                <w:color w:val="008000"/>
                <w:szCs w:val="20"/>
              </w:rPr>
            </w:pPr>
            <w:r>
              <w:rPr>
                <w:b/>
                <w:color w:val="008000"/>
                <w:szCs w:val="20"/>
              </w:rPr>
              <w:t>Lexik</w:t>
            </w:r>
          </w:p>
          <w:p w:rsidR="00EF72B5" w:rsidRDefault="00A81E1B">
            <w:pPr>
              <w:numPr>
                <w:ilvl w:val="0"/>
                <w:numId w:val="2"/>
              </w:numPr>
              <w:spacing w:before="60"/>
              <w:jc w:val="left"/>
            </w:pPr>
            <w:r>
              <w:t xml:space="preserve">wenden Techniken des Erschließens, Archivierens, Lernens, Wiederholens von Wörtern und </w:t>
            </w:r>
            <w:r>
              <w:t>Wendungen selbstständig und eigenverantwortlich an</w:t>
            </w:r>
          </w:p>
          <w:p w:rsidR="00EF72B5" w:rsidRDefault="00A81E1B">
            <w:pPr>
              <w:numPr>
                <w:ilvl w:val="0"/>
                <w:numId w:val="2"/>
              </w:numPr>
              <w:spacing w:before="60"/>
              <w:jc w:val="left"/>
            </w:pPr>
            <w:r>
              <w:t>unterscheiden bei- und unterordnende Konjunktionen</w:t>
            </w:r>
          </w:p>
          <w:p w:rsidR="00EF72B5" w:rsidRDefault="00A81E1B">
            <w:pPr>
              <w:numPr>
                <w:ilvl w:val="0"/>
                <w:numId w:val="2"/>
              </w:numPr>
              <w:spacing w:before="60"/>
              <w:jc w:val="left"/>
            </w:pPr>
            <w:r>
              <w:t>entnehmen dem Wörter- und Eigennamenverzeichnis des Lehrbuches selbstständig Informationen (</w:t>
            </w:r>
            <w:r>
              <w:rPr>
                <w:szCs w:val="20"/>
              </w:rPr>
              <w:t>z.</w:t>
            </w:r>
            <w:r>
              <w:rPr>
                <w:sz w:val="14"/>
                <w:szCs w:val="20"/>
              </w:rPr>
              <w:t> </w:t>
            </w:r>
            <w:r>
              <w:rPr>
                <w:szCs w:val="20"/>
              </w:rPr>
              <w:t>B.</w:t>
            </w:r>
            <w:r>
              <w:t xml:space="preserve"> Bedeutungen, Genitiv, Genus, Stammformen, Sacherläuterun</w:t>
            </w:r>
            <w:r>
              <w:t>gen) (vgl. Methodik, S.</w:t>
            </w:r>
            <w:r>
              <w:rPr>
                <w:sz w:val="14"/>
              </w:rPr>
              <w:t> </w:t>
            </w:r>
            <w:r>
              <w:t>100</w:t>
            </w:r>
            <w:r>
              <w:rPr>
                <w:sz w:val="14"/>
              </w:rPr>
              <w:t> </w:t>
            </w:r>
            <w:r>
              <w:t>f.)</w:t>
            </w:r>
          </w:p>
          <w:p w:rsidR="00EF72B5" w:rsidRDefault="00A81E1B">
            <w:pPr>
              <w:numPr>
                <w:ilvl w:val="0"/>
                <w:numId w:val="2"/>
              </w:numPr>
              <w:spacing w:before="60"/>
              <w:jc w:val="left"/>
            </w:pPr>
            <w:r>
              <w:t>erkennen, dass Wörter über mehr Bedeutungen verfügen als die gelernten, und wählen bei der Übersetzung zunehmend selbstständig kontextbezogen das passende deutsche Wort</w:t>
            </w:r>
          </w:p>
          <w:p w:rsidR="00EF72B5" w:rsidRDefault="00A81E1B">
            <w:pPr>
              <w:spacing w:before="180"/>
              <w:jc w:val="left"/>
              <w:rPr>
                <w:b/>
                <w:color w:val="008000"/>
                <w:szCs w:val="20"/>
              </w:rPr>
            </w:pPr>
            <w:r>
              <w:rPr>
                <w:b/>
                <w:color w:val="008000"/>
                <w:szCs w:val="20"/>
              </w:rPr>
              <w:t>Morphologie</w:t>
            </w:r>
          </w:p>
          <w:p w:rsidR="00EF72B5" w:rsidRDefault="00A81E1B">
            <w:pPr>
              <w:numPr>
                <w:ilvl w:val="0"/>
                <w:numId w:val="2"/>
              </w:numPr>
              <w:spacing w:before="60"/>
              <w:jc w:val="left"/>
            </w:pPr>
            <w:r>
              <w:rPr>
                <w:szCs w:val="20"/>
              </w:rPr>
              <w:t>erschließen Formen mit Hilfe der grundlegen</w:t>
            </w:r>
            <w:r>
              <w:rPr>
                <w:szCs w:val="20"/>
              </w:rPr>
              <w:t>den Bildungsprinzipien</w:t>
            </w:r>
          </w:p>
          <w:p w:rsidR="00EF72B5" w:rsidRDefault="00A81E1B">
            <w:pPr>
              <w:numPr>
                <w:ilvl w:val="0"/>
                <w:numId w:val="2"/>
              </w:numPr>
              <w:spacing w:before="60"/>
              <w:jc w:val="left"/>
            </w:pPr>
            <w:r>
              <w:rPr>
                <w:szCs w:val="20"/>
              </w:rPr>
              <w:t>erlernen, festigen und wiederholen die Formen eigenständig, auch mit Hilfe der Begleitgrammatik</w:t>
            </w:r>
          </w:p>
          <w:p w:rsidR="00EF72B5" w:rsidRDefault="00A81E1B">
            <w:pPr>
              <w:spacing w:before="180"/>
              <w:jc w:val="left"/>
              <w:rPr>
                <w:b/>
                <w:szCs w:val="20"/>
              </w:rPr>
            </w:pPr>
            <w:r>
              <w:rPr>
                <w:b/>
                <w:color w:val="008000"/>
                <w:szCs w:val="20"/>
              </w:rPr>
              <w:t>Verständigung</w:t>
            </w:r>
          </w:p>
          <w:p w:rsidR="00EF72B5" w:rsidRDefault="00A81E1B">
            <w:pPr>
              <w:numPr>
                <w:ilvl w:val="0"/>
                <w:numId w:val="2"/>
              </w:numPr>
              <w:spacing w:before="60"/>
              <w:jc w:val="left"/>
            </w:pPr>
            <w:r>
              <w:t xml:space="preserve">lesen die Lehrbuchtexte nach sprachlicher, formaler und inhaltlicher Klärung und Vertiefung unter Beachtung der </w:t>
            </w:r>
            <w:r>
              <w:t>Betonungsregeln flüssig und sinnadäquat</w:t>
            </w:r>
          </w:p>
          <w:p w:rsidR="00EF72B5" w:rsidRDefault="00A81E1B">
            <w:pPr>
              <w:numPr>
                <w:ilvl w:val="0"/>
                <w:numId w:val="2"/>
              </w:numPr>
              <w:spacing w:before="60"/>
              <w:jc w:val="left"/>
            </w:pPr>
            <w:r>
              <w:rPr>
                <w:szCs w:val="20"/>
              </w:rPr>
              <w:t>nennen die Thematik lateinisch vorgetragener parataktischer und überschaubarer hypotaktischer Sätze, wenn sie strukturiert vorgetragen werden und die Vokabeln überwiegend bekannt sind</w:t>
            </w:r>
          </w:p>
        </w:tc>
      </w:tr>
      <w:tr w:rsidR="00EF72B5">
        <w:tc>
          <w:tcPr>
            <w:tcW w:w="2098" w:type="dxa"/>
            <w:vMerge/>
            <w:tcMar>
              <w:top w:w="57" w:type="dxa"/>
              <w:bottom w:w="57" w:type="dxa"/>
            </w:tcMar>
          </w:tcPr>
          <w:p w:rsidR="00EF72B5" w:rsidRDefault="00EF72B5">
            <w:pPr>
              <w:rPr>
                <w:b/>
                <w:color w:val="3333CC"/>
              </w:rPr>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spacing w:before="180"/>
              <w:jc w:val="left"/>
              <w:rPr>
                <w:b/>
                <w:color w:val="008000"/>
                <w:szCs w:val="20"/>
              </w:rPr>
            </w:pPr>
            <w:r>
              <w:rPr>
                <w:b/>
                <w:color w:val="008000"/>
                <w:szCs w:val="20"/>
              </w:rPr>
              <w:t>Progression</w:t>
            </w:r>
          </w:p>
          <w:p w:rsidR="00EF72B5" w:rsidRDefault="00A81E1B">
            <w:pPr>
              <w:numPr>
                <w:ilvl w:val="0"/>
                <w:numId w:val="2"/>
              </w:numPr>
              <w:spacing w:before="60"/>
              <w:jc w:val="left"/>
            </w:pPr>
            <w:r>
              <w:rPr>
                <w:szCs w:val="20"/>
              </w:rPr>
              <w:t>ersc</w:t>
            </w:r>
            <w:r>
              <w:rPr>
                <w:szCs w:val="20"/>
              </w:rPr>
              <w:t>hließen Lehrbuchtexte, übersetzen sie adäquat ins Deutsche und interpretieren sie</w:t>
            </w:r>
          </w:p>
          <w:p w:rsidR="00EF72B5" w:rsidRDefault="00A81E1B">
            <w:pPr>
              <w:numPr>
                <w:ilvl w:val="0"/>
                <w:numId w:val="2"/>
              </w:numPr>
              <w:spacing w:before="60"/>
              <w:jc w:val="left"/>
            </w:pPr>
            <w:r>
              <w:rPr>
                <w:szCs w:val="20"/>
              </w:rPr>
              <w:t>gewinnen einen ersten Einblick in die römische Welt und in Themen der lateinischen Literatur</w:t>
            </w:r>
          </w:p>
          <w:p w:rsidR="00EF72B5" w:rsidRDefault="00A81E1B">
            <w:pPr>
              <w:spacing w:before="180"/>
              <w:jc w:val="left"/>
              <w:rPr>
                <w:b/>
                <w:color w:val="008000"/>
                <w:szCs w:val="20"/>
              </w:rPr>
            </w:pPr>
            <w:r>
              <w:rPr>
                <w:b/>
                <w:color w:val="008000"/>
                <w:szCs w:val="20"/>
              </w:rPr>
              <w:t>Erschließen</w:t>
            </w:r>
          </w:p>
          <w:p w:rsidR="00EF72B5" w:rsidRDefault="00A81E1B">
            <w:pPr>
              <w:numPr>
                <w:ilvl w:val="0"/>
                <w:numId w:val="2"/>
              </w:numPr>
              <w:spacing w:before="60"/>
              <w:jc w:val="left"/>
            </w:pPr>
            <w:r>
              <w:t>benennen und belegen nach dem Hören und/oder Lesen eines Textes wesen</w:t>
            </w:r>
            <w:r>
              <w:t>tliche Merkmale (</w:t>
            </w:r>
            <w:r>
              <w:rPr>
                <w:szCs w:val="20"/>
              </w:rPr>
              <w:t>z.</w:t>
            </w:r>
            <w:r>
              <w:rPr>
                <w:sz w:val="14"/>
                <w:szCs w:val="20"/>
              </w:rPr>
              <w:t> </w:t>
            </w:r>
            <w:r>
              <w:rPr>
                <w:szCs w:val="20"/>
              </w:rPr>
              <w:t>B.</w:t>
            </w:r>
            <w:r>
              <w:t xml:space="preserve"> zentrale Begriffe, gliedernde Strukturelemente) </w:t>
            </w:r>
            <w:r>
              <w:br/>
              <w:t>und stellen Bezüge her (vgl. Methodik, Bd.</w:t>
            </w:r>
            <w:r>
              <w:rPr>
                <w:sz w:val="14"/>
              </w:rPr>
              <w:t> </w:t>
            </w:r>
            <w:r>
              <w:t>1, S.</w:t>
            </w:r>
            <w:r>
              <w:rPr>
                <w:sz w:val="14"/>
              </w:rPr>
              <w:t> </w:t>
            </w:r>
            <w:r>
              <w:t>114</w:t>
            </w:r>
            <w:r>
              <w:rPr>
                <w:sz w:val="14"/>
              </w:rPr>
              <w:t> </w:t>
            </w:r>
            <w:r>
              <w:t>f.)</w:t>
            </w:r>
          </w:p>
          <w:p w:rsidR="00EF72B5" w:rsidRDefault="00A81E1B">
            <w:pPr>
              <w:numPr>
                <w:ilvl w:val="0"/>
                <w:numId w:val="2"/>
              </w:numPr>
              <w:spacing w:before="60"/>
              <w:jc w:val="left"/>
            </w:pPr>
            <w:r>
              <w:t>entnehmen aufgabenbezogen komplexere Informationen zum Inhalt (Haupthandlung, Handlungsmotive, weitere Begleitumstände)</w:t>
            </w:r>
          </w:p>
          <w:p w:rsidR="00EF72B5" w:rsidRDefault="00A81E1B">
            <w:pPr>
              <w:numPr>
                <w:ilvl w:val="0"/>
                <w:numId w:val="2"/>
              </w:numPr>
              <w:spacing w:before="60"/>
              <w:jc w:val="left"/>
            </w:pPr>
            <w:r>
              <w:t>arbeiten die Grobstruktur eines Textes heraus</w:t>
            </w:r>
          </w:p>
          <w:p w:rsidR="00EF72B5" w:rsidRDefault="00A81E1B">
            <w:pPr>
              <w:numPr>
                <w:ilvl w:val="0"/>
                <w:numId w:val="2"/>
              </w:numPr>
              <w:spacing w:before="60"/>
              <w:jc w:val="left"/>
            </w:pPr>
            <w:r>
              <w:t>verwenden graphische Analysetechniken zur Darstellung einfacher Satzgefüge (</w:t>
            </w:r>
            <w:r>
              <w:rPr>
                <w:szCs w:val="20"/>
              </w:rPr>
              <w:t>z.</w:t>
            </w:r>
            <w:r>
              <w:rPr>
                <w:sz w:val="14"/>
                <w:szCs w:val="20"/>
              </w:rPr>
              <w:t> </w:t>
            </w:r>
            <w:r>
              <w:rPr>
                <w:szCs w:val="20"/>
              </w:rPr>
              <w:t>B.</w:t>
            </w:r>
            <w:r>
              <w:t xml:space="preserve"> Einrückmethode)</w:t>
            </w:r>
          </w:p>
          <w:p w:rsidR="00EF72B5" w:rsidRDefault="00A81E1B">
            <w:pPr>
              <w:numPr>
                <w:ilvl w:val="0"/>
                <w:numId w:val="2"/>
              </w:numPr>
              <w:spacing w:before="60"/>
              <w:jc w:val="left"/>
            </w:pPr>
            <w:r>
              <w:t>fassen ihre Beobachtungen zu einem vorläufigen Textverständnis zusammen und belegen diese</w:t>
            </w:r>
          </w:p>
        </w:tc>
      </w:tr>
    </w:tbl>
    <w:p w:rsidR="00EF72B5" w:rsidRDefault="00EF72B5"/>
    <w:p w:rsidR="00EF72B5" w:rsidRDefault="00A81E1B">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jc w:val="left"/>
              <w:rPr>
                <w:color w:val="3333CC"/>
              </w:rPr>
            </w:pPr>
            <w:r>
              <w:rPr>
                <w:b/>
                <w:color w:val="3333CC"/>
              </w:rPr>
              <w:lastRenderedPageBreak/>
              <w:t>Bd.</w:t>
            </w:r>
            <w:r>
              <w:rPr>
                <w:b/>
                <w:color w:val="3333CC"/>
                <w:sz w:val="14"/>
              </w:rPr>
              <w:t> </w:t>
            </w:r>
            <w:r>
              <w:rPr>
                <w:b/>
                <w:color w:val="3333CC"/>
              </w:rPr>
              <w:t>2 (L.</w:t>
            </w:r>
            <w:r>
              <w:rPr>
                <w:b/>
                <w:color w:val="3333CC"/>
                <w:sz w:val="14"/>
              </w:rPr>
              <w:t xml:space="preserve"> </w:t>
            </w:r>
            <w:r>
              <w:rPr>
                <w:b/>
                <w:color w:val="3333CC"/>
              </w:rPr>
              <w:t xml:space="preserve">14–25), </w:t>
            </w:r>
            <w:r>
              <w:rPr>
                <w:b/>
                <w:color w:val="3333CC"/>
              </w:rPr>
              <w:t>passim</w:t>
            </w:r>
          </w:p>
          <w:p w:rsidR="00EF72B5" w:rsidRDefault="00EF72B5"/>
        </w:tc>
        <w:tc>
          <w:tcPr>
            <w:tcW w:w="6974" w:type="dxa"/>
            <w:tcMar>
              <w:top w:w="57" w:type="dxa"/>
              <w:bottom w:w="57" w:type="dxa"/>
            </w:tcMar>
          </w:tcPr>
          <w:p w:rsidR="00EF72B5" w:rsidRDefault="00A81E1B">
            <w:pPr>
              <w:jc w:val="left"/>
              <w:rPr>
                <w:b/>
                <w:color w:val="FF0066"/>
              </w:rPr>
            </w:pPr>
            <w:r>
              <w:rPr>
                <w:b/>
                <w:color w:val="CC0066"/>
              </w:rPr>
              <w:t>Textkompetenz (Forts.)</w:t>
            </w:r>
          </w:p>
          <w:p w:rsidR="00EF72B5" w:rsidRDefault="00A81E1B">
            <w:pPr>
              <w:spacing w:before="180"/>
              <w:jc w:val="left"/>
              <w:rPr>
                <w:b/>
                <w:color w:val="008000"/>
                <w:szCs w:val="20"/>
              </w:rPr>
            </w:pPr>
            <w:r>
              <w:rPr>
                <w:b/>
                <w:color w:val="008000"/>
                <w:szCs w:val="20"/>
              </w:rPr>
              <w:t>Übersetzen</w:t>
            </w:r>
          </w:p>
          <w:p w:rsidR="00EF72B5" w:rsidRDefault="00A81E1B">
            <w:pPr>
              <w:numPr>
                <w:ilvl w:val="0"/>
                <w:numId w:val="2"/>
              </w:numPr>
              <w:spacing w:before="60"/>
              <w:jc w:val="left"/>
            </w:pPr>
            <w:r>
              <w:rPr>
                <w:szCs w:val="20"/>
              </w:rPr>
              <w:t>gehen systematisch nach analytischen Satzerschließungsverfahren vor</w:t>
            </w:r>
          </w:p>
          <w:p w:rsidR="00EF72B5" w:rsidRDefault="00A81E1B">
            <w:pPr>
              <w:numPr>
                <w:ilvl w:val="0"/>
                <w:numId w:val="2"/>
              </w:numPr>
              <w:spacing w:before="60"/>
              <w:jc w:val="left"/>
            </w:pPr>
            <w:r>
              <w:t>wählen kontextbezogen passende Wortbedeutungen aus</w:t>
            </w:r>
          </w:p>
          <w:p w:rsidR="00EF72B5" w:rsidRDefault="00A81E1B">
            <w:pPr>
              <w:numPr>
                <w:ilvl w:val="0"/>
                <w:numId w:val="2"/>
              </w:numPr>
              <w:spacing w:before="60"/>
              <w:jc w:val="left"/>
            </w:pPr>
            <w:r>
              <w:t>vergleichen ihre Vorschläge mit anderen Übersetzungen und nehmen Stellung dazu</w:t>
            </w:r>
          </w:p>
          <w:p w:rsidR="00EF72B5" w:rsidRDefault="00A81E1B">
            <w:pPr>
              <w:spacing w:before="180"/>
              <w:jc w:val="left"/>
              <w:rPr>
                <w:b/>
                <w:color w:val="008000"/>
                <w:szCs w:val="20"/>
              </w:rPr>
            </w:pPr>
            <w:r>
              <w:rPr>
                <w:b/>
                <w:color w:val="008000"/>
                <w:szCs w:val="20"/>
              </w:rPr>
              <w:t>Interpretieren</w:t>
            </w:r>
          </w:p>
          <w:p w:rsidR="00EF72B5" w:rsidRDefault="00A81E1B">
            <w:pPr>
              <w:numPr>
                <w:ilvl w:val="0"/>
                <w:numId w:val="2"/>
              </w:numPr>
              <w:spacing w:before="60"/>
              <w:jc w:val="left"/>
            </w:pPr>
            <w:r>
              <w:t>teilen den Text in Sinnabschnitte ein</w:t>
            </w:r>
          </w:p>
          <w:p w:rsidR="00EF72B5" w:rsidRDefault="00A81E1B">
            <w:pPr>
              <w:numPr>
                <w:ilvl w:val="0"/>
                <w:numId w:val="2"/>
              </w:numPr>
              <w:spacing w:before="60"/>
              <w:jc w:val="left"/>
            </w:pPr>
            <w:r>
              <w:t>nennen zentrale Begriffe und belegen diese</w:t>
            </w:r>
          </w:p>
          <w:p w:rsidR="00EF72B5" w:rsidRDefault="00A81E1B">
            <w:pPr>
              <w:numPr>
                <w:ilvl w:val="0"/>
                <w:numId w:val="2"/>
              </w:numPr>
              <w:spacing w:before="60"/>
              <w:jc w:val="left"/>
            </w:pPr>
            <w:r>
              <w:t>benennen stilistische Gestaltungsmittel des Textes und beschreiben ihre Wirkung (vgl. Methodik, S.</w:t>
            </w:r>
            <w:r>
              <w:rPr>
                <w:sz w:val="14"/>
              </w:rPr>
              <w:t> </w:t>
            </w:r>
            <w:r>
              <w:t>103)</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spacing w:before="180"/>
              <w:jc w:val="left"/>
              <w:rPr>
                <w:b/>
                <w:color w:val="008000"/>
                <w:szCs w:val="20"/>
              </w:rPr>
            </w:pPr>
            <w:r>
              <w:rPr>
                <w:b/>
                <w:color w:val="008000"/>
                <w:szCs w:val="20"/>
              </w:rPr>
              <w:t>Fakten- und Sachwissen</w:t>
            </w:r>
          </w:p>
          <w:p w:rsidR="00EF72B5" w:rsidRDefault="00A81E1B">
            <w:pPr>
              <w:numPr>
                <w:ilvl w:val="0"/>
                <w:numId w:val="2"/>
              </w:numPr>
              <w:spacing w:before="60"/>
              <w:jc w:val="left"/>
              <w:rPr>
                <w:szCs w:val="20"/>
              </w:rPr>
            </w:pPr>
            <w:r>
              <w:rPr>
                <w:szCs w:val="20"/>
              </w:rPr>
              <w:t>beschaffen sich vermehrt eigen</w:t>
            </w:r>
            <w:r>
              <w:rPr>
                <w:szCs w:val="20"/>
              </w:rPr>
              <w:t>ständig Informationen aus zugänglichen Quellen (z.</w:t>
            </w:r>
            <w:r>
              <w:rPr>
                <w:sz w:val="14"/>
                <w:szCs w:val="20"/>
              </w:rPr>
              <w:t> </w:t>
            </w:r>
            <w:r>
              <w:rPr>
                <w:szCs w:val="20"/>
              </w:rPr>
              <w:t>B. Sachwörterbücher, Bibliotheken, Internet)</w:t>
            </w:r>
          </w:p>
          <w:p w:rsidR="00EF72B5" w:rsidRDefault="00A81E1B">
            <w:pPr>
              <w:numPr>
                <w:ilvl w:val="0"/>
                <w:numId w:val="2"/>
              </w:numPr>
              <w:spacing w:before="60"/>
              <w:jc w:val="left"/>
              <w:rPr>
                <w:szCs w:val="20"/>
              </w:rPr>
            </w:pPr>
            <w:r>
              <w:rPr>
                <w:szCs w:val="20"/>
              </w:rPr>
              <w:t>filtern aus unterschiedlichen Medien zunehmend selbstständig thematisch relevante Sachinformationen heraus</w:t>
            </w:r>
          </w:p>
          <w:p w:rsidR="00EF72B5" w:rsidRDefault="00A81E1B">
            <w:pPr>
              <w:numPr>
                <w:ilvl w:val="0"/>
                <w:numId w:val="2"/>
              </w:numPr>
              <w:spacing w:before="60"/>
              <w:jc w:val="left"/>
              <w:rPr>
                <w:szCs w:val="20"/>
              </w:rPr>
            </w:pPr>
            <w:r>
              <w:rPr>
                <w:szCs w:val="20"/>
              </w:rPr>
              <w:t>präsentieren mediengestützt selbstständig erarbeitete</w:t>
            </w:r>
            <w:r>
              <w:rPr>
                <w:szCs w:val="20"/>
              </w:rPr>
              <w:t xml:space="preserve"> und nach sachlichen Gesichtspunkten geordnete Inhalte</w:t>
            </w:r>
          </w:p>
          <w:p w:rsidR="00EF72B5" w:rsidRDefault="00A81E1B">
            <w:pPr>
              <w:spacing w:before="180"/>
              <w:jc w:val="left"/>
              <w:rPr>
                <w:b/>
                <w:color w:val="008000"/>
                <w:szCs w:val="20"/>
              </w:rPr>
            </w:pPr>
            <w:r>
              <w:rPr>
                <w:b/>
                <w:color w:val="008000"/>
                <w:szCs w:val="20"/>
              </w:rPr>
              <w:t>Ethische Wertschätzung und existenzieller Transfer</w:t>
            </w:r>
          </w:p>
          <w:p w:rsidR="00EF72B5" w:rsidRDefault="00A81E1B">
            <w:pPr>
              <w:numPr>
                <w:ilvl w:val="0"/>
                <w:numId w:val="2"/>
              </w:numPr>
              <w:spacing w:before="60"/>
              <w:jc w:val="left"/>
            </w:pPr>
            <w:r>
              <w:rPr>
                <w:szCs w:val="20"/>
              </w:rPr>
              <w:t>setzen sich mit ihnen fremden Verhaltensweisen und Regeln auseinander</w:t>
            </w:r>
          </w:p>
          <w:p w:rsidR="00EF72B5" w:rsidRDefault="00A81E1B">
            <w:pPr>
              <w:numPr>
                <w:ilvl w:val="0"/>
                <w:numId w:val="2"/>
              </w:numPr>
              <w:spacing w:before="60"/>
              <w:jc w:val="left"/>
            </w:pPr>
            <w:r>
              <w:rPr>
                <w:szCs w:val="20"/>
              </w:rPr>
              <w:t>erkennen sich selbst im Kontinuum von Wertetraditionen</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Anmerkungen/Sonstiges</w:t>
            </w:r>
          </w:p>
          <w:p w:rsidR="00EF72B5" w:rsidRDefault="00EF72B5">
            <w:pPr>
              <w:spacing w:before="60"/>
              <w:jc w:val="left"/>
              <w:rPr>
                <w:szCs w:val="20"/>
              </w:rPr>
            </w:pPr>
          </w:p>
          <w:p w:rsidR="00EF72B5" w:rsidRDefault="00EF72B5">
            <w:pPr>
              <w:spacing w:before="60"/>
              <w:jc w:val="left"/>
              <w:rPr>
                <w:szCs w:val="20"/>
              </w:rPr>
            </w:pPr>
          </w:p>
          <w:p w:rsidR="00EF72B5" w:rsidRDefault="00EF72B5">
            <w:pPr>
              <w:spacing w:before="60"/>
              <w:jc w:val="left"/>
              <w:rPr>
                <w:szCs w:val="20"/>
              </w:rPr>
            </w:pPr>
          </w:p>
          <w:p w:rsidR="00EF72B5" w:rsidRDefault="00EF72B5">
            <w:pPr>
              <w:spacing w:before="60"/>
              <w:jc w:val="left"/>
            </w:pPr>
          </w:p>
        </w:tc>
      </w:tr>
    </w:tbl>
    <w:p w:rsidR="00EF72B5" w:rsidRDefault="00EF72B5"/>
    <w:p w:rsidR="00EF72B5" w:rsidRDefault="00A81E1B">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14</w:t>
            </w:r>
            <w:r>
              <w:rPr>
                <w:b/>
                <w:color w:val="3333CC"/>
                <w:szCs w:val="20"/>
              </w:rPr>
              <w:tab/>
              <w:t>Bauern und Adlige</w:t>
            </w:r>
          </w:p>
          <w:p w:rsidR="00EF72B5" w:rsidRDefault="00A81E1B">
            <w:pPr>
              <w:numPr>
                <w:ilvl w:val="0"/>
                <w:numId w:val="2"/>
              </w:numPr>
              <w:spacing w:before="60"/>
              <w:jc w:val="left"/>
            </w:pPr>
            <w:r>
              <w:rPr>
                <w:szCs w:val="20"/>
              </w:rPr>
              <w:t>Passiv (</w:t>
            </w:r>
            <w:proofErr w:type="spellStart"/>
            <w:r>
              <w:rPr>
                <w:szCs w:val="20"/>
              </w:rPr>
              <w:t>Ind</w:t>
            </w:r>
            <w:proofErr w:type="spellEnd"/>
            <w:r>
              <w:rPr>
                <w:szCs w:val="20"/>
              </w:rPr>
              <w:t xml:space="preserve">. </w:t>
            </w:r>
            <w:proofErr w:type="spellStart"/>
            <w:r>
              <w:rPr>
                <w:szCs w:val="20"/>
              </w:rPr>
              <w:t>Präs</w:t>
            </w:r>
            <w:proofErr w:type="spellEnd"/>
            <w:r>
              <w:rPr>
                <w:szCs w:val="20"/>
              </w:rPr>
              <w:t xml:space="preserve">., </w:t>
            </w:r>
            <w:proofErr w:type="spellStart"/>
            <w:r>
              <w:rPr>
                <w:szCs w:val="20"/>
              </w:rPr>
              <w:t>Ind</w:t>
            </w:r>
            <w:proofErr w:type="spellEnd"/>
            <w:r>
              <w:rPr>
                <w:szCs w:val="20"/>
              </w:rPr>
              <w:t xml:space="preserve">. </w:t>
            </w:r>
            <w:proofErr w:type="spellStart"/>
            <w:r>
              <w:rPr>
                <w:szCs w:val="20"/>
              </w:rPr>
              <w:t>Impf</w:t>
            </w:r>
            <w:proofErr w:type="spellEnd"/>
            <w:r>
              <w:rPr>
                <w:szCs w:val="20"/>
              </w:rPr>
              <w:t xml:space="preserve">., Fut. I, </w:t>
            </w:r>
            <w:r>
              <w:rPr>
                <w:szCs w:val="20"/>
              </w:rPr>
              <w:br/>
              <w:t xml:space="preserve">Inf. </w:t>
            </w:r>
            <w:proofErr w:type="spellStart"/>
            <w:r>
              <w:rPr>
                <w:szCs w:val="20"/>
              </w:rPr>
              <w:t>Präs</w:t>
            </w:r>
            <w:proofErr w:type="spellEnd"/>
            <w:r>
              <w:rPr>
                <w:szCs w:val="20"/>
              </w:rPr>
              <w:t>.)</w:t>
            </w:r>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22 neue </w:t>
            </w:r>
            <w:proofErr w:type="spellStart"/>
            <w:r>
              <w:rPr>
                <w:szCs w:val="20"/>
              </w:rPr>
              <w:t>Vok</w:t>
            </w:r>
            <w:proofErr w:type="spellEnd"/>
            <w:r>
              <w:rPr>
                <w:szCs w:val="20"/>
              </w:rPr>
              <w:t>. (insges. 377)</w:t>
            </w:r>
          </w:p>
          <w:p w:rsidR="00EF72B5" w:rsidRDefault="00A81E1B">
            <w:pPr>
              <w:numPr>
                <w:ilvl w:val="0"/>
                <w:numId w:val="2"/>
              </w:numPr>
              <w:spacing w:before="60"/>
              <w:jc w:val="left"/>
              <w:rPr>
                <w:szCs w:val="20"/>
              </w:rPr>
            </w:pPr>
            <w:r>
              <w:rPr>
                <w:szCs w:val="20"/>
              </w:rPr>
              <w:t xml:space="preserve">beschreiben das Konzept von Kernbegriffen, die in der Welt der Römer verankert sind (hier: </w:t>
            </w:r>
            <w:proofErr w:type="spellStart"/>
            <w:r>
              <w:rPr>
                <w:i/>
                <w:szCs w:val="20"/>
              </w:rPr>
              <w:t>gloria</w:t>
            </w:r>
            <w:proofErr w:type="spellEnd"/>
            <w:r>
              <w:rPr>
                <w:szCs w:val="20"/>
              </w:rPr>
              <w:t xml:space="preserve">), und wählen bei der Übersetzung </w:t>
            </w:r>
            <w:r>
              <w:rPr>
                <w:szCs w:val="20"/>
              </w:rPr>
              <w:t>zunehmend selbstständig kontextbezogen entsprechende deutsche Begriffe</w:t>
            </w:r>
          </w:p>
          <w:p w:rsidR="00EF72B5" w:rsidRDefault="00A81E1B">
            <w:pPr>
              <w:numPr>
                <w:ilvl w:val="0"/>
                <w:numId w:val="2"/>
              </w:numPr>
              <w:spacing w:before="60"/>
              <w:jc w:val="left"/>
              <w:rPr>
                <w:szCs w:val="20"/>
              </w:rPr>
            </w:pPr>
            <w:r>
              <w:rPr>
                <w:szCs w:val="20"/>
              </w:rPr>
              <w:t>geben die Paradigmen wieder:</w:t>
            </w:r>
          </w:p>
          <w:p w:rsidR="00EF72B5" w:rsidRDefault="00A81E1B">
            <w:pPr>
              <w:numPr>
                <w:ilvl w:val="0"/>
                <w:numId w:val="1"/>
              </w:numPr>
              <w:ind w:left="340" w:hanging="170"/>
              <w:jc w:val="left"/>
              <w:rPr>
                <w:szCs w:val="20"/>
              </w:rPr>
            </w:pPr>
            <w:r>
              <w:rPr>
                <w:szCs w:val="20"/>
              </w:rPr>
              <w:t xml:space="preserve">der Verben der a-, e-, i- und </w:t>
            </w:r>
            <w:proofErr w:type="spellStart"/>
            <w:r>
              <w:rPr>
                <w:szCs w:val="20"/>
              </w:rPr>
              <w:t>kons</w:t>
            </w:r>
            <w:proofErr w:type="spellEnd"/>
            <w:r>
              <w:rPr>
                <w:szCs w:val="20"/>
              </w:rPr>
              <w:t xml:space="preserve">. </w:t>
            </w:r>
            <w:proofErr w:type="spellStart"/>
            <w:r>
              <w:rPr>
                <w:szCs w:val="20"/>
              </w:rPr>
              <w:t>Konj</w:t>
            </w:r>
            <w:proofErr w:type="spellEnd"/>
            <w:r>
              <w:rPr>
                <w:szCs w:val="20"/>
              </w:rPr>
              <w:t xml:space="preserve">. (inkl. </w:t>
            </w:r>
            <w:proofErr w:type="spellStart"/>
            <w:r>
              <w:rPr>
                <w:szCs w:val="20"/>
              </w:rPr>
              <w:t>kurzvok</w:t>
            </w:r>
            <w:proofErr w:type="spellEnd"/>
            <w:r>
              <w:rPr>
                <w:szCs w:val="20"/>
              </w:rPr>
              <w:t>. i-</w:t>
            </w:r>
            <w:proofErr w:type="spellStart"/>
            <w:r>
              <w:rPr>
                <w:szCs w:val="20"/>
              </w:rPr>
              <w:t>Konj</w:t>
            </w:r>
            <w:proofErr w:type="spellEnd"/>
            <w:r>
              <w:rPr>
                <w:szCs w:val="20"/>
              </w:rPr>
              <w:t xml:space="preserve">.) im </w:t>
            </w:r>
            <w:proofErr w:type="spellStart"/>
            <w:r>
              <w:rPr>
                <w:szCs w:val="20"/>
              </w:rPr>
              <w:t>Ind</w:t>
            </w:r>
            <w:proofErr w:type="spellEnd"/>
            <w:r>
              <w:rPr>
                <w:szCs w:val="20"/>
              </w:rPr>
              <w:t xml:space="preserve">. </w:t>
            </w:r>
            <w:proofErr w:type="spellStart"/>
            <w:r>
              <w:rPr>
                <w:szCs w:val="20"/>
              </w:rPr>
              <w:t>Präs</w:t>
            </w:r>
            <w:proofErr w:type="spellEnd"/>
            <w:r>
              <w:rPr>
                <w:szCs w:val="20"/>
              </w:rPr>
              <w:t>. Pass.</w:t>
            </w:r>
          </w:p>
          <w:p w:rsidR="00EF72B5" w:rsidRDefault="00A81E1B">
            <w:pPr>
              <w:numPr>
                <w:ilvl w:val="0"/>
                <w:numId w:val="2"/>
              </w:numPr>
              <w:spacing w:before="60"/>
              <w:jc w:val="left"/>
              <w:rPr>
                <w:szCs w:val="20"/>
              </w:rPr>
            </w:pPr>
            <w:r>
              <w:rPr>
                <w:szCs w:val="20"/>
              </w:rPr>
              <w:t xml:space="preserve">identifizieren Formen im </w:t>
            </w:r>
            <w:proofErr w:type="spellStart"/>
            <w:r>
              <w:rPr>
                <w:szCs w:val="20"/>
              </w:rPr>
              <w:t>Ind</w:t>
            </w:r>
            <w:proofErr w:type="spellEnd"/>
            <w:r>
              <w:rPr>
                <w:szCs w:val="20"/>
              </w:rPr>
              <w:t xml:space="preserve">. </w:t>
            </w:r>
            <w:proofErr w:type="spellStart"/>
            <w:r>
              <w:rPr>
                <w:szCs w:val="20"/>
              </w:rPr>
              <w:t>Impf</w:t>
            </w:r>
            <w:proofErr w:type="spellEnd"/>
            <w:r>
              <w:rPr>
                <w:szCs w:val="20"/>
              </w:rPr>
              <w:t>. Pass. und Fut. I Pass. anhand der</w:t>
            </w:r>
            <w:r>
              <w:rPr>
                <w:szCs w:val="20"/>
              </w:rPr>
              <w:t xml:space="preserve"> Signale für Person, Numerus, Tempus und Genus </w:t>
            </w:r>
            <w:proofErr w:type="spellStart"/>
            <w:r>
              <w:rPr>
                <w:szCs w:val="20"/>
              </w:rPr>
              <w:t>verbi</w:t>
            </w:r>
            <w:proofErr w:type="spellEnd"/>
          </w:p>
          <w:p w:rsidR="00EF72B5" w:rsidRDefault="00A81E1B">
            <w:pPr>
              <w:numPr>
                <w:ilvl w:val="0"/>
                <w:numId w:val="2"/>
              </w:numPr>
              <w:spacing w:before="60"/>
              <w:jc w:val="left"/>
            </w:pPr>
            <w:r>
              <w:rPr>
                <w:szCs w:val="20"/>
              </w:rPr>
              <w:t>wenden Techniken des Lernens von Wörtern selbstständig und eigenverantwortlich an (hier: Eselsbrücken, Ü 7)</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rPr>
                <w:szCs w:val="20"/>
              </w:rPr>
            </w:pPr>
            <w:r>
              <w:rPr>
                <w:szCs w:val="20"/>
              </w:rPr>
              <w:t>benennen stilistische Gestaltungsmittel des Textes (hier: Alliteration, Hinwend</w:t>
            </w:r>
            <w:r>
              <w:rPr>
                <w:szCs w:val="20"/>
              </w:rPr>
              <w:t>ung [+], rhetorische Frage [+]) und beschreiben ihre Wirkung</w:t>
            </w:r>
          </w:p>
          <w:p w:rsidR="00EF72B5" w:rsidRDefault="00A81E1B">
            <w:pPr>
              <w:numPr>
                <w:ilvl w:val="0"/>
                <w:numId w:val="2"/>
              </w:numPr>
              <w:spacing w:before="60"/>
              <w:jc w:val="left"/>
              <w:rPr>
                <w:szCs w:val="20"/>
              </w:rPr>
            </w:pPr>
            <w:r>
              <w:rPr>
                <w:szCs w:val="20"/>
              </w:rPr>
              <w:t>benennen Merkmale weiterer Textsorten (hier: Rede)</w:t>
            </w:r>
          </w:p>
          <w:p w:rsidR="00EF72B5" w:rsidRDefault="00A81E1B">
            <w:pPr>
              <w:numPr>
                <w:ilvl w:val="0"/>
                <w:numId w:val="2"/>
              </w:numPr>
              <w:spacing w:before="60"/>
              <w:jc w:val="left"/>
              <w:rPr>
                <w:szCs w:val="20"/>
              </w:rPr>
            </w:pPr>
            <w:r>
              <w:rPr>
                <w:szCs w:val="20"/>
              </w:rPr>
              <w:t>setzen den Inhalt des übersetzten Textes gestaltend um (hier: durch interpretierendes Lesen)</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Ständegliederung</w:t>
            </w:r>
          </w:p>
          <w:p w:rsidR="00EF72B5" w:rsidRDefault="00A81E1B">
            <w:pPr>
              <w:numPr>
                <w:ilvl w:val="0"/>
                <w:numId w:val="2"/>
              </w:numPr>
              <w:spacing w:before="60"/>
              <w:jc w:val="left"/>
              <w:rPr>
                <w:szCs w:val="20"/>
              </w:rPr>
            </w:pPr>
            <w:r>
              <w:rPr>
                <w:szCs w:val="20"/>
              </w:rPr>
              <w:t xml:space="preserve">vergleichen </w:t>
            </w:r>
            <w:r>
              <w:rPr>
                <w:szCs w:val="20"/>
              </w:rPr>
              <w:t>angeleitet Elemente der römischen Gesellschafts- und Lebensstruktur mit denen ihres eigenen Erfahrungs- und Erlebensbereiches (hier: Sozialordnung, soziale Spannungen)</w:t>
            </w:r>
          </w:p>
          <w:p w:rsidR="00EF72B5" w:rsidRDefault="00A81E1B">
            <w:pPr>
              <w:numPr>
                <w:ilvl w:val="0"/>
                <w:numId w:val="2"/>
              </w:numPr>
              <w:spacing w:before="60"/>
              <w:jc w:val="left"/>
              <w:rPr>
                <w:szCs w:val="20"/>
              </w:rPr>
            </w:pPr>
            <w:r>
              <w:rPr>
                <w:color w:val="008000"/>
                <w:szCs w:val="20"/>
              </w:rPr>
              <w:t>Kern- und Fachbegriffe:</w:t>
            </w:r>
          </w:p>
          <w:p w:rsidR="00EF72B5" w:rsidRDefault="00A81E1B">
            <w:pPr>
              <w:numPr>
                <w:ilvl w:val="0"/>
                <w:numId w:val="1"/>
              </w:numPr>
              <w:ind w:left="340" w:hanging="170"/>
              <w:jc w:val="left"/>
              <w:rPr>
                <w:i/>
                <w:szCs w:val="20"/>
              </w:rPr>
            </w:pPr>
            <w:proofErr w:type="spellStart"/>
            <w:r>
              <w:rPr>
                <w:i/>
                <w:szCs w:val="20"/>
              </w:rPr>
              <w:t>gloria</w:t>
            </w:r>
            <w:proofErr w:type="spellEnd"/>
          </w:p>
          <w:p w:rsidR="00EF72B5" w:rsidRDefault="00A81E1B">
            <w:pPr>
              <w:numPr>
                <w:ilvl w:val="0"/>
                <w:numId w:val="1"/>
              </w:numPr>
              <w:ind w:left="340" w:hanging="170"/>
              <w:jc w:val="left"/>
              <w:rPr>
                <w:szCs w:val="20"/>
              </w:rPr>
            </w:pPr>
            <w:proofErr w:type="spellStart"/>
            <w:r>
              <w:rPr>
                <w:i/>
                <w:szCs w:val="20"/>
              </w:rPr>
              <w:t>ager</w:t>
            </w:r>
            <w:proofErr w:type="spellEnd"/>
            <w:r>
              <w:rPr>
                <w:i/>
                <w:szCs w:val="20"/>
              </w:rPr>
              <w:t xml:space="preserve"> </w:t>
            </w:r>
            <w:proofErr w:type="spellStart"/>
            <w:r>
              <w:rPr>
                <w:i/>
                <w:szCs w:val="20"/>
              </w:rPr>
              <w:t>publicus</w:t>
            </w:r>
            <w:proofErr w:type="spellEnd"/>
            <w:r>
              <w:rPr>
                <w:i/>
                <w:szCs w:val="20"/>
              </w:rPr>
              <w:t xml:space="preserve"> </w:t>
            </w:r>
            <w:r>
              <w:rPr>
                <w:szCs w:val="20"/>
              </w:rPr>
              <w:t>(+)</w:t>
            </w:r>
          </w:p>
          <w:p w:rsidR="00EF72B5" w:rsidRDefault="00A81E1B">
            <w:pPr>
              <w:numPr>
                <w:ilvl w:val="0"/>
                <w:numId w:val="1"/>
              </w:numPr>
              <w:ind w:left="340" w:hanging="170"/>
              <w:jc w:val="left"/>
              <w:rPr>
                <w:szCs w:val="20"/>
              </w:rPr>
            </w:pPr>
            <w:r>
              <w:rPr>
                <w:szCs w:val="20"/>
              </w:rPr>
              <w:t>Optimaten (+)</w:t>
            </w:r>
          </w:p>
          <w:p w:rsidR="00EF72B5" w:rsidRDefault="00A81E1B">
            <w:pPr>
              <w:numPr>
                <w:ilvl w:val="0"/>
                <w:numId w:val="1"/>
              </w:numPr>
              <w:ind w:left="340" w:hanging="170"/>
              <w:jc w:val="left"/>
            </w:pPr>
            <w:r>
              <w:rPr>
                <w:szCs w:val="20"/>
              </w:rPr>
              <w:t>Populare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CC0066"/>
              </w:rPr>
            </w:pPr>
            <w:r>
              <w:rPr>
                <w:b/>
                <w:color w:val="CC0066"/>
              </w:rPr>
              <w:t>Anmerkunge</w:t>
            </w:r>
            <w:r>
              <w:rPr>
                <w:b/>
                <w:color w:val="CC0066"/>
              </w:rPr>
              <w:t>n/Sonstiges</w:t>
            </w:r>
          </w:p>
          <w:p w:rsidR="00EF72B5" w:rsidRDefault="00EF72B5">
            <w:pPr>
              <w:spacing w:before="60"/>
              <w:jc w:val="left"/>
            </w:pPr>
          </w:p>
          <w:p w:rsidR="00EF72B5" w:rsidRDefault="00EF72B5">
            <w:pPr>
              <w:spacing w:before="60"/>
              <w:jc w:val="left"/>
            </w:pPr>
          </w:p>
          <w:p w:rsidR="00EF72B5" w:rsidRDefault="00EF72B5">
            <w:pPr>
              <w:spacing w:before="60"/>
              <w:jc w:val="left"/>
            </w:pPr>
          </w:p>
          <w:p w:rsidR="00EF72B5" w:rsidRDefault="00EF72B5">
            <w:pPr>
              <w:spacing w:before="60"/>
            </w:pPr>
          </w:p>
        </w:tc>
      </w:tr>
    </w:tbl>
    <w:p w:rsidR="00EF72B5" w:rsidRDefault="00EF72B5"/>
    <w:p w:rsidR="00EF72B5" w:rsidRDefault="00A81E1B">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15</w:t>
            </w:r>
            <w:r>
              <w:rPr>
                <w:b/>
                <w:color w:val="3333CC"/>
                <w:szCs w:val="20"/>
              </w:rPr>
              <w:tab/>
              <w:t>Rom unter Druck</w:t>
            </w:r>
          </w:p>
          <w:p w:rsidR="00EF72B5" w:rsidRDefault="00A81E1B">
            <w:pPr>
              <w:numPr>
                <w:ilvl w:val="0"/>
                <w:numId w:val="2"/>
              </w:numPr>
              <w:spacing w:before="60"/>
              <w:jc w:val="left"/>
              <w:rPr>
                <w:szCs w:val="20"/>
              </w:rPr>
            </w:pPr>
            <w:r>
              <w:rPr>
                <w:szCs w:val="20"/>
              </w:rPr>
              <w:t>Passiv (</w:t>
            </w:r>
            <w:proofErr w:type="spellStart"/>
            <w:r>
              <w:rPr>
                <w:szCs w:val="20"/>
              </w:rPr>
              <w:t>Ind</w:t>
            </w:r>
            <w:proofErr w:type="spellEnd"/>
            <w:r>
              <w:rPr>
                <w:szCs w:val="20"/>
              </w:rPr>
              <w:t xml:space="preserve">. Perf., </w:t>
            </w:r>
            <w:r>
              <w:rPr>
                <w:szCs w:val="20"/>
              </w:rPr>
              <w:br/>
            </w:r>
            <w:proofErr w:type="spellStart"/>
            <w:r>
              <w:rPr>
                <w:szCs w:val="20"/>
              </w:rPr>
              <w:t>Ind</w:t>
            </w:r>
            <w:proofErr w:type="spellEnd"/>
            <w:r>
              <w:rPr>
                <w:szCs w:val="20"/>
              </w:rPr>
              <w:t xml:space="preserve">. </w:t>
            </w:r>
            <w:proofErr w:type="spellStart"/>
            <w:r>
              <w:rPr>
                <w:szCs w:val="20"/>
              </w:rPr>
              <w:t>Plqu</w:t>
            </w:r>
            <w:proofErr w:type="spellEnd"/>
            <w:r>
              <w:rPr>
                <w:szCs w:val="20"/>
              </w:rPr>
              <w:t>., Inf. Perf.)</w:t>
            </w:r>
          </w:p>
          <w:p w:rsidR="00EF72B5" w:rsidRDefault="00A81E1B">
            <w:pPr>
              <w:numPr>
                <w:ilvl w:val="0"/>
                <w:numId w:val="2"/>
              </w:numPr>
              <w:spacing w:before="60"/>
              <w:jc w:val="left"/>
            </w:pPr>
            <w:proofErr w:type="spellStart"/>
            <w:r>
              <w:rPr>
                <w:szCs w:val="20"/>
              </w:rPr>
              <w:t>Pron</w:t>
            </w:r>
            <w:proofErr w:type="spellEnd"/>
            <w:r>
              <w:rPr>
                <w:szCs w:val="20"/>
              </w:rPr>
              <w:t>. rel.</w:t>
            </w:r>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30 neue </w:t>
            </w:r>
            <w:proofErr w:type="spellStart"/>
            <w:r>
              <w:rPr>
                <w:szCs w:val="20"/>
              </w:rPr>
              <w:t>Vok</w:t>
            </w:r>
            <w:proofErr w:type="spellEnd"/>
            <w:r>
              <w:rPr>
                <w:szCs w:val="20"/>
              </w:rPr>
              <w:t>. (insges. 407)</w:t>
            </w:r>
          </w:p>
          <w:p w:rsidR="00EF72B5" w:rsidRDefault="00A81E1B">
            <w:pPr>
              <w:numPr>
                <w:ilvl w:val="0"/>
                <w:numId w:val="2"/>
              </w:numPr>
              <w:spacing w:before="60"/>
              <w:jc w:val="left"/>
              <w:rPr>
                <w:szCs w:val="20"/>
              </w:rPr>
            </w:pPr>
            <w:r>
              <w:rPr>
                <w:szCs w:val="20"/>
              </w:rPr>
              <w:t xml:space="preserve">erkennen Wörter trotz Lautveränderung wieder (hier: </w:t>
            </w:r>
            <w:proofErr w:type="spellStart"/>
            <w:r>
              <w:rPr>
                <w:i/>
                <w:szCs w:val="20"/>
              </w:rPr>
              <w:t>afficere</w:t>
            </w:r>
            <w:proofErr w:type="spellEnd"/>
            <w:r>
              <w:rPr>
                <w:i/>
                <w:szCs w:val="20"/>
              </w:rPr>
              <w:t xml:space="preserve"> &lt; </w:t>
            </w:r>
            <w:proofErr w:type="spellStart"/>
            <w:r>
              <w:rPr>
                <w:i/>
                <w:szCs w:val="20"/>
              </w:rPr>
              <w:t>ad+facere</w:t>
            </w:r>
            <w:proofErr w:type="spellEnd"/>
            <w:r>
              <w:rPr>
                <w:szCs w:val="20"/>
              </w:rPr>
              <w:t>)</w:t>
            </w:r>
          </w:p>
          <w:p w:rsidR="00EF72B5" w:rsidRDefault="00A81E1B">
            <w:pPr>
              <w:numPr>
                <w:ilvl w:val="0"/>
                <w:numId w:val="2"/>
              </w:numPr>
              <w:spacing w:before="60"/>
              <w:jc w:val="left"/>
              <w:rPr>
                <w:szCs w:val="20"/>
              </w:rPr>
            </w:pPr>
            <w:r>
              <w:rPr>
                <w:szCs w:val="20"/>
              </w:rPr>
              <w:t xml:space="preserve">erkennen, dass Wörter über mehr Bedeutungen verfügen als die gelernten, und wählen bei der Übersetzung zunehmend selbstständig kontextbezogen das passende deutsche Wort (hier: </w:t>
            </w:r>
            <w:proofErr w:type="spellStart"/>
            <w:r>
              <w:rPr>
                <w:i/>
                <w:szCs w:val="20"/>
              </w:rPr>
              <w:t>afficere</w:t>
            </w:r>
            <w:proofErr w:type="spellEnd"/>
            <w:r>
              <w:rPr>
                <w:szCs w:val="20"/>
              </w:rPr>
              <w:t>)</w:t>
            </w:r>
          </w:p>
          <w:p w:rsidR="00EF72B5" w:rsidRDefault="00A81E1B">
            <w:pPr>
              <w:numPr>
                <w:ilvl w:val="0"/>
                <w:numId w:val="2"/>
              </w:numPr>
              <w:spacing w:before="60"/>
              <w:jc w:val="left"/>
              <w:rPr>
                <w:szCs w:val="20"/>
              </w:rPr>
            </w:pPr>
            <w:r>
              <w:rPr>
                <w:szCs w:val="20"/>
              </w:rPr>
              <w:t xml:space="preserve">beschreiben das Konzept von Kernbegriffen, die in der Welt der Römer verankert sind (hier: </w:t>
            </w:r>
            <w:proofErr w:type="spellStart"/>
            <w:r>
              <w:rPr>
                <w:i/>
                <w:szCs w:val="20"/>
              </w:rPr>
              <w:t>virtus</w:t>
            </w:r>
            <w:proofErr w:type="spellEnd"/>
            <w:r>
              <w:rPr>
                <w:i/>
                <w:szCs w:val="20"/>
              </w:rPr>
              <w:t xml:space="preserve">, </w:t>
            </w:r>
            <w:proofErr w:type="spellStart"/>
            <w:r>
              <w:rPr>
                <w:i/>
                <w:szCs w:val="20"/>
              </w:rPr>
              <w:t>honor</w:t>
            </w:r>
            <w:proofErr w:type="spellEnd"/>
            <w:r>
              <w:rPr>
                <w:szCs w:val="20"/>
              </w:rPr>
              <w:t>), und wählen bei der Übersetzung zunehmend selbstständig kontextbezogen entsprechende deutsche Begriffe</w:t>
            </w:r>
          </w:p>
          <w:p w:rsidR="00EF72B5" w:rsidRDefault="00A81E1B">
            <w:pPr>
              <w:numPr>
                <w:ilvl w:val="0"/>
                <w:numId w:val="2"/>
              </w:numPr>
              <w:spacing w:before="60"/>
              <w:jc w:val="left"/>
              <w:rPr>
                <w:szCs w:val="20"/>
              </w:rPr>
            </w:pPr>
            <w:r>
              <w:rPr>
                <w:szCs w:val="20"/>
              </w:rPr>
              <w:t xml:space="preserve">führen häufig verwendete Fremd- und Lehnwörter </w:t>
            </w:r>
            <w:r>
              <w:rPr>
                <w:szCs w:val="20"/>
              </w:rPr>
              <w:t>auf das lateinische Ursprungswort zurück und beschreiben den Bedeutungswandel (Ü 8)</w:t>
            </w:r>
          </w:p>
          <w:p w:rsidR="00EF72B5" w:rsidRDefault="00A81E1B">
            <w:pPr>
              <w:numPr>
                <w:ilvl w:val="0"/>
                <w:numId w:val="2"/>
              </w:numPr>
              <w:spacing w:before="60"/>
              <w:jc w:val="left"/>
              <w:rPr>
                <w:szCs w:val="20"/>
              </w:rPr>
            </w:pPr>
            <w:r>
              <w:rPr>
                <w:szCs w:val="20"/>
              </w:rPr>
              <w:t>unterscheiden Pronomina (Ü 4, G 50)</w:t>
            </w:r>
          </w:p>
          <w:p w:rsidR="00EF72B5" w:rsidRDefault="00A81E1B">
            <w:pPr>
              <w:numPr>
                <w:ilvl w:val="0"/>
                <w:numId w:val="2"/>
              </w:numPr>
              <w:spacing w:before="60"/>
              <w:jc w:val="left"/>
              <w:rPr>
                <w:szCs w:val="20"/>
              </w:rPr>
            </w:pPr>
            <w:r>
              <w:rPr>
                <w:szCs w:val="20"/>
              </w:rPr>
              <w:t>geben die Paradigmen wieder:</w:t>
            </w:r>
          </w:p>
          <w:p w:rsidR="00EF72B5" w:rsidRDefault="00A81E1B">
            <w:pPr>
              <w:numPr>
                <w:ilvl w:val="0"/>
                <w:numId w:val="1"/>
              </w:numPr>
              <w:ind w:left="340" w:hanging="170"/>
              <w:jc w:val="left"/>
              <w:rPr>
                <w:szCs w:val="20"/>
              </w:rPr>
            </w:pPr>
            <w:r>
              <w:rPr>
                <w:szCs w:val="20"/>
              </w:rPr>
              <w:t>des Relativpronomens</w:t>
            </w:r>
          </w:p>
          <w:p w:rsidR="00EF72B5" w:rsidRDefault="00A81E1B">
            <w:pPr>
              <w:numPr>
                <w:ilvl w:val="0"/>
                <w:numId w:val="1"/>
              </w:numPr>
              <w:ind w:left="340" w:hanging="170"/>
              <w:jc w:val="left"/>
              <w:rPr>
                <w:szCs w:val="20"/>
              </w:rPr>
            </w:pPr>
            <w:r>
              <w:rPr>
                <w:szCs w:val="20"/>
              </w:rPr>
              <w:t>der Zwei-Wort-Formen (</w:t>
            </w:r>
            <w:proofErr w:type="spellStart"/>
            <w:r>
              <w:rPr>
                <w:szCs w:val="20"/>
              </w:rPr>
              <w:t>Ind</w:t>
            </w:r>
            <w:proofErr w:type="spellEnd"/>
            <w:r>
              <w:rPr>
                <w:szCs w:val="20"/>
              </w:rPr>
              <w:t>. Perf./</w:t>
            </w:r>
            <w:proofErr w:type="spellStart"/>
            <w:r>
              <w:rPr>
                <w:szCs w:val="20"/>
              </w:rPr>
              <w:t>Plqu</w:t>
            </w:r>
            <w:proofErr w:type="spellEnd"/>
            <w:r>
              <w:rPr>
                <w:szCs w:val="20"/>
              </w:rPr>
              <w:t>. Pass.)</w:t>
            </w:r>
          </w:p>
          <w:p w:rsidR="00EF72B5" w:rsidRDefault="00A81E1B">
            <w:pPr>
              <w:numPr>
                <w:ilvl w:val="0"/>
                <w:numId w:val="2"/>
              </w:numPr>
              <w:spacing w:before="60"/>
              <w:jc w:val="left"/>
              <w:rPr>
                <w:szCs w:val="20"/>
              </w:rPr>
            </w:pPr>
            <w:r>
              <w:rPr>
                <w:szCs w:val="20"/>
              </w:rPr>
              <w:t>bestimmen und unterscheiden die lateinis</w:t>
            </w:r>
            <w:r>
              <w:rPr>
                <w:szCs w:val="20"/>
              </w:rPr>
              <w:t>chen Formen sicher, indem sie insbesondere auch schwierigere flektierte Formen (hier: Pronomina) auf ihre Grundform zurückführen</w:t>
            </w:r>
          </w:p>
          <w:p w:rsidR="00EF72B5" w:rsidRDefault="00A81E1B">
            <w:pPr>
              <w:numPr>
                <w:ilvl w:val="0"/>
                <w:numId w:val="2"/>
              </w:numPr>
              <w:spacing w:before="60"/>
              <w:jc w:val="left"/>
              <w:rPr>
                <w:szCs w:val="20"/>
              </w:rPr>
            </w:pPr>
            <w:r>
              <w:rPr>
                <w:szCs w:val="20"/>
              </w:rPr>
              <w:t xml:space="preserve">identifizieren Formen im </w:t>
            </w:r>
            <w:proofErr w:type="spellStart"/>
            <w:r>
              <w:rPr>
                <w:szCs w:val="20"/>
              </w:rPr>
              <w:t>Ind</w:t>
            </w:r>
            <w:proofErr w:type="spellEnd"/>
            <w:r>
              <w:rPr>
                <w:szCs w:val="20"/>
              </w:rPr>
              <w:t xml:space="preserve">. </w:t>
            </w:r>
            <w:proofErr w:type="spellStart"/>
            <w:r>
              <w:rPr>
                <w:szCs w:val="20"/>
              </w:rPr>
              <w:t>Präs</w:t>
            </w:r>
            <w:proofErr w:type="spellEnd"/>
            <w:r>
              <w:rPr>
                <w:szCs w:val="20"/>
              </w:rPr>
              <w:t xml:space="preserve">, </w:t>
            </w:r>
            <w:proofErr w:type="spellStart"/>
            <w:r>
              <w:rPr>
                <w:szCs w:val="20"/>
              </w:rPr>
              <w:t>Ind</w:t>
            </w:r>
            <w:proofErr w:type="spellEnd"/>
            <w:r>
              <w:rPr>
                <w:szCs w:val="20"/>
              </w:rPr>
              <w:t xml:space="preserve">. </w:t>
            </w:r>
            <w:proofErr w:type="spellStart"/>
            <w:r>
              <w:rPr>
                <w:szCs w:val="20"/>
              </w:rPr>
              <w:t>Impf</w:t>
            </w:r>
            <w:proofErr w:type="spellEnd"/>
            <w:r>
              <w:rPr>
                <w:szCs w:val="20"/>
              </w:rPr>
              <w:t xml:space="preserve">, Fut. I, </w:t>
            </w:r>
            <w:proofErr w:type="spellStart"/>
            <w:r>
              <w:rPr>
                <w:szCs w:val="20"/>
              </w:rPr>
              <w:t>Ind</w:t>
            </w:r>
            <w:proofErr w:type="spellEnd"/>
            <w:r>
              <w:rPr>
                <w:szCs w:val="20"/>
              </w:rPr>
              <w:t xml:space="preserve">. Perf. und </w:t>
            </w:r>
            <w:proofErr w:type="spellStart"/>
            <w:r>
              <w:rPr>
                <w:szCs w:val="20"/>
              </w:rPr>
              <w:t>Ind</w:t>
            </w:r>
            <w:proofErr w:type="spellEnd"/>
            <w:r>
              <w:rPr>
                <w:szCs w:val="20"/>
              </w:rPr>
              <w:t xml:space="preserve">. </w:t>
            </w:r>
            <w:proofErr w:type="spellStart"/>
            <w:r>
              <w:rPr>
                <w:szCs w:val="20"/>
              </w:rPr>
              <w:t>Plqu</w:t>
            </w:r>
            <w:proofErr w:type="spellEnd"/>
            <w:r>
              <w:rPr>
                <w:szCs w:val="20"/>
              </w:rPr>
              <w:t>. anhand der Signale für Person, Numerus, Tempus</w:t>
            </w:r>
            <w:r>
              <w:rPr>
                <w:szCs w:val="20"/>
              </w:rPr>
              <w:t xml:space="preserve"> und Genus </w:t>
            </w:r>
            <w:proofErr w:type="spellStart"/>
            <w:r>
              <w:rPr>
                <w:szCs w:val="20"/>
              </w:rPr>
              <w:t>verbi</w:t>
            </w:r>
            <w:proofErr w:type="spellEnd"/>
          </w:p>
          <w:p w:rsidR="00EF72B5" w:rsidRDefault="00A81E1B">
            <w:pPr>
              <w:numPr>
                <w:ilvl w:val="0"/>
                <w:numId w:val="2"/>
              </w:numPr>
              <w:spacing w:before="60"/>
              <w:jc w:val="left"/>
            </w:pPr>
            <w:r>
              <w:rPr>
                <w:szCs w:val="20"/>
              </w:rPr>
              <w:t>erkennen und übersetzen indikativische Relativsätze</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rPr>
                <w:szCs w:val="20"/>
              </w:rPr>
            </w:pPr>
            <w:r>
              <w:rPr>
                <w:szCs w:val="20"/>
              </w:rPr>
              <w:t xml:space="preserve">wählen kontextbezogen passende Wortbedeutungen aus (hier: </w:t>
            </w:r>
            <w:proofErr w:type="spellStart"/>
            <w:r>
              <w:rPr>
                <w:i/>
                <w:szCs w:val="20"/>
              </w:rPr>
              <w:t>afficere</w:t>
            </w:r>
            <w:proofErr w:type="spellEnd"/>
            <w:r>
              <w:rPr>
                <w:szCs w:val="20"/>
              </w:rPr>
              <w:t>)</w:t>
            </w:r>
          </w:p>
          <w:p w:rsidR="00EF72B5" w:rsidRDefault="00A81E1B">
            <w:pPr>
              <w:numPr>
                <w:ilvl w:val="0"/>
                <w:numId w:val="2"/>
              </w:numPr>
              <w:spacing w:before="60"/>
              <w:jc w:val="left"/>
            </w:pPr>
            <w:r>
              <w:rPr>
                <w:szCs w:val="20"/>
              </w:rPr>
              <w:t>setzen den Inhalt des übersetzten Textes gestaltend um (hier: Wechsel der Erzählperspektive)</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 xml:space="preserve">altrömische Persönlichkeiten als </w:t>
            </w:r>
            <w:proofErr w:type="spellStart"/>
            <w:r>
              <w:rPr>
                <w:szCs w:val="20"/>
              </w:rPr>
              <w:t>Exempla</w:t>
            </w:r>
            <w:proofErr w:type="spellEnd"/>
            <w:r>
              <w:rPr>
                <w:szCs w:val="20"/>
              </w:rPr>
              <w:t xml:space="preserve"> (hier: </w:t>
            </w:r>
            <w:proofErr w:type="spellStart"/>
            <w:r>
              <w:rPr>
                <w:szCs w:val="20"/>
              </w:rPr>
              <w:t>Cloelia</w:t>
            </w:r>
            <w:proofErr w:type="spellEnd"/>
            <w:r>
              <w:rPr>
                <w:szCs w:val="20"/>
              </w:rPr>
              <w:t xml:space="preserve">, </w:t>
            </w:r>
            <w:proofErr w:type="spellStart"/>
            <w:r>
              <w:rPr>
                <w:szCs w:val="20"/>
              </w:rPr>
              <w:t>Horatius</w:t>
            </w:r>
            <w:proofErr w:type="spellEnd"/>
            <w:r>
              <w:rPr>
                <w:szCs w:val="20"/>
              </w:rPr>
              <w:t xml:space="preserve"> </w:t>
            </w:r>
            <w:proofErr w:type="spellStart"/>
            <w:r>
              <w:rPr>
                <w:szCs w:val="20"/>
              </w:rPr>
              <w:t>Cocles</w:t>
            </w:r>
            <w:proofErr w:type="spellEnd"/>
            <w:r>
              <w:rPr>
                <w:szCs w:val="20"/>
              </w:rPr>
              <w:t xml:space="preserve">, </w:t>
            </w:r>
            <w:proofErr w:type="spellStart"/>
            <w:r>
              <w:rPr>
                <w:szCs w:val="20"/>
              </w:rPr>
              <w:t>Mucius</w:t>
            </w:r>
            <w:proofErr w:type="spellEnd"/>
            <w:r>
              <w:rPr>
                <w:szCs w:val="20"/>
              </w:rPr>
              <w:t xml:space="preserve"> </w:t>
            </w:r>
            <w:proofErr w:type="spellStart"/>
            <w:r>
              <w:rPr>
                <w:szCs w:val="20"/>
              </w:rPr>
              <w:t>Scaevola</w:t>
            </w:r>
            <w:proofErr w:type="spellEnd"/>
            <w:r>
              <w:rPr>
                <w:szCs w:val="20"/>
              </w:rPr>
              <w:t>)</w:t>
            </w:r>
          </w:p>
          <w:p w:rsidR="00EF72B5" w:rsidRDefault="00A81E1B">
            <w:pPr>
              <w:numPr>
                <w:ilvl w:val="0"/>
                <w:numId w:val="2"/>
              </w:numPr>
              <w:spacing w:before="60"/>
              <w:jc w:val="left"/>
              <w:rPr>
                <w:szCs w:val="20"/>
              </w:rPr>
            </w:pPr>
            <w:r>
              <w:rPr>
                <w:color w:val="008000"/>
                <w:szCs w:val="20"/>
              </w:rPr>
              <w:t>Kern- und Fachbegriffe:</w:t>
            </w:r>
          </w:p>
          <w:p w:rsidR="00EF72B5" w:rsidRDefault="00A81E1B">
            <w:pPr>
              <w:numPr>
                <w:ilvl w:val="0"/>
                <w:numId w:val="1"/>
              </w:numPr>
              <w:ind w:left="340" w:hanging="170"/>
              <w:jc w:val="left"/>
              <w:rPr>
                <w:i/>
                <w:szCs w:val="20"/>
              </w:rPr>
            </w:pPr>
            <w:proofErr w:type="spellStart"/>
            <w:r>
              <w:rPr>
                <w:i/>
                <w:szCs w:val="20"/>
              </w:rPr>
              <w:t>virtus</w:t>
            </w:r>
            <w:proofErr w:type="spellEnd"/>
          </w:p>
          <w:p w:rsidR="00EF72B5" w:rsidRDefault="00A81E1B">
            <w:pPr>
              <w:numPr>
                <w:ilvl w:val="0"/>
                <w:numId w:val="1"/>
              </w:numPr>
              <w:ind w:left="340" w:hanging="170"/>
              <w:jc w:val="left"/>
              <w:rPr>
                <w:i/>
                <w:szCs w:val="20"/>
              </w:rPr>
            </w:pPr>
            <w:proofErr w:type="spellStart"/>
            <w:r>
              <w:rPr>
                <w:i/>
                <w:szCs w:val="20"/>
              </w:rPr>
              <w:t>honor</w:t>
            </w:r>
            <w:proofErr w:type="spellEnd"/>
          </w:p>
          <w:p w:rsidR="00EF72B5" w:rsidRDefault="00A81E1B">
            <w:pPr>
              <w:numPr>
                <w:ilvl w:val="0"/>
                <w:numId w:val="1"/>
              </w:numPr>
              <w:ind w:left="340" w:hanging="170"/>
              <w:jc w:val="left"/>
              <w:rPr>
                <w:szCs w:val="20"/>
              </w:rPr>
            </w:pPr>
            <w:proofErr w:type="spellStart"/>
            <w:r>
              <w:rPr>
                <w:i/>
                <w:szCs w:val="20"/>
              </w:rPr>
              <w:t>exemplum</w:t>
            </w:r>
            <w:proofErr w:type="spellEnd"/>
            <w:r>
              <w:rPr>
                <w:i/>
                <w:szCs w:val="20"/>
              </w:rPr>
              <w:t xml:space="preserve"> </w:t>
            </w:r>
            <w:r>
              <w:rPr>
                <w:szCs w:val="20"/>
              </w:rPr>
              <w:t>(+)</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CC0066"/>
              </w:rPr>
            </w:pPr>
            <w:r>
              <w:rPr>
                <w:b/>
                <w:color w:val="CC0066"/>
              </w:rPr>
              <w:t>Anmerkungen/Sonstiges</w:t>
            </w:r>
          </w:p>
          <w:p w:rsidR="00EF72B5" w:rsidRDefault="00EF72B5">
            <w:pPr>
              <w:spacing w:before="60"/>
              <w:jc w:val="left"/>
            </w:pPr>
          </w:p>
          <w:p w:rsidR="00EF72B5" w:rsidRDefault="00EF72B5">
            <w:pPr>
              <w:spacing w:before="60"/>
              <w:jc w:val="left"/>
            </w:pPr>
          </w:p>
          <w:p w:rsidR="00EF72B5" w:rsidRDefault="00EF72B5">
            <w:pPr>
              <w:spacing w:before="60"/>
              <w:jc w:val="left"/>
            </w:pPr>
          </w:p>
          <w:p w:rsidR="00EF72B5" w:rsidRDefault="00EF72B5">
            <w:pPr>
              <w:spacing w:before="60"/>
            </w:pPr>
          </w:p>
        </w:tc>
      </w:tr>
    </w:tbl>
    <w:p w:rsidR="00EF72B5" w:rsidRDefault="00EF72B5"/>
    <w:p w:rsidR="00EF72B5" w:rsidRDefault="00A81E1B">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16</w:t>
            </w:r>
            <w:r>
              <w:rPr>
                <w:b/>
                <w:color w:val="3333CC"/>
                <w:szCs w:val="20"/>
              </w:rPr>
              <w:tab/>
              <w:t>Geben und Nehmen: Politik in Rom</w:t>
            </w:r>
          </w:p>
          <w:p w:rsidR="00EF72B5" w:rsidRDefault="00A81E1B">
            <w:pPr>
              <w:numPr>
                <w:ilvl w:val="0"/>
                <w:numId w:val="2"/>
              </w:numPr>
              <w:spacing w:before="60"/>
              <w:jc w:val="left"/>
              <w:rPr>
                <w:szCs w:val="20"/>
              </w:rPr>
            </w:pPr>
            <w:r>
              <w:rPr>
                <w:szCs w:val="20"/>
              </w:rPr>
              <w:t>Adj. der i-</w:t>
            </w:r>
            <w:proofErr w:type="spellStart"/>
            <w:r>
              <w:rPr>
                <w:szCs w:val="20"/>
              </w:rPr>
              <w:t>Dekl</w:t>
            </w:r>
            <w:proofErr w:type="spellEnd"/>
            <w:r>
              <w:rPr>
                <w:szCs w:val="20"/>
              </w:rPr>
              <w:t>.</w:t>
            </w:r>
          </w:p>
          <w:p w:rsidR="00EF72B5" w:rsidRDefault="00A81E1B">
            <w:pPr>
              <w:numPr>
                <w:ilvl w:val="0"/>
                <w:numId w:val="2"/>
              </w:numPr>
              <w:spacing w:before="60"/>
              <w:jc w:val="left"/>
              <w:rPr>
                <w:szCs w:val="20"/>
              </w:rPr>
            </w:pPr>
            <w:r>
              <w:rPr>
                <w:szCs w:val="20"/>
              </w:rPr>
              <w:t xml:space="preserve">Adv. zu den Adj. der </w:t>
            </w:r>
            <w:r>
              <w:rPr>
                <w:szCs w:val="20"/>
              </w:rPr>
              <w:br/>
              <w:t>i-</w:t>
            </w:r>
            <w:proofErr w:type="spellStart"/>
            <w:r>
              <w:rPr>
                <w:szCs w:val="20"/>
              </w:rPr>
              <w:t>Dekl</w:t>
            </w:r>
            <w:proofErr w:type="spellEnd"/>
            <w:r>
              <w:rPr>
                <w:szCs w:val="20"/>
              </w:rPr>
              <w:t>.</w:t>
            </w:r>
          </w:p>
          <w:p w:rsidR="00EF72B5" w:rsidRDefault="00A81E1B">
            <w:pPr>
              <w:numPr>
                <w:ilvl w:val="0"/>
                <w:numId w:val="2"/>
              </w:numPr>
              <w:spacing w:before="60"/>
              <w:jc w:val="left"/>
              <w:rPr>
                <w:szCs w:val="20"/>
              </w:rPr>
            </w:pPr>
            <w:r>
              <w:rPr>
                <w:szCs w:val="20"/>
              </w:rPr>
              <w:t>Rel. Satzanschluss</w:t>
            </w:r>
          </w:p>
          <w:p w:rsidR="00EF72B5" w:rsidRDefault="00A81E1B">
            <w:pPr>
              <w:numPr>
                <w:ilvl w:val="0"/>
                <w:numId w:val="2"/>
              </w:numPr>
              <w:spacing w:before="60"/>
              <w:jc w:val="left"/>
            </w:pPr>
            <w:proofErr w:type="spellStart"/>
            <w:r>
              <w:rPr>
                <w:szCs w:val="20"/>
              </w:rPr>
              <w:t>Pron</w:t>
            </w:r>
            <w:proofErr w:type="spellEnd"/>
            <w:r>
              <w:rPr>
                <w:szCs w:val="20"/>
              </w:rPr>
              <w:t>. rel.</w:t>
            </w:r>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25 neue </w:t>
            </w:r>
            <w:proofErr w:type="spellStart"/>
            <w:r>
              <w:rPr>
                <w:szCs w:val="20"/>
              </w:rPr>
              <w:t>Vok</w:t>
            </w:r>
            <w:proofErr w:type="spellEnd"/>
            <w:r>
              <w:rPr>
                <w:szCs w:val="20"/>
              </w:rPr>
              <w:t>. (insges. 432)</w:t>
            </w:r>
          </w:p>
          <w:p w:rsidR="00EF72B5" w:rsidRDefault="00A81E1B">
            <w:pPr>
              <w:numPr>
                <w:ilvl w:val="0"/>
                <w:numId w:val="2"/>
              </w:numPr>
              <w:spacing w:before="60"/>
              <w:jc w:val="left"/>
              <w:rPr>
                <w:szCs w:val="20"/>
              </w:rPr>
            </w:pPr>
            <w:r>
              <w:rPr>
                <w:szCs w:val="20"/>
              </w:rPr>
              <w:t>entdecken ihnen bekannte lateinische Wörter im Französischen (Ü 9)</w:t>
            </w:r>
          </w:p>
          <w:p w:rsidR="00EF72B5" w:rsidRDefault="00A81E1B">
            <w:pPr>
              <w:numPr>
                <w:ilvl w:val="0"/>
                <w:numId w:val="2"/>
              </w:numPr>
              <w:spacing w:before="60"/>
              <w:jc w:val="left"/>
              <w:rPr>
                <w:szCs w:val="20"/>
              </w:rPr>
            </w:pPr>
            <w:r>
              <w:rPr>
                <w:szCs w:val="20"/>
              </w:rPr>
              <w:t>geben die Paradigmen wieder:</w:t>
            </w:r>
          </w:p>
          <w:p w:rsidR="00EF72B5" w:rsidRDefault="00A81E1B">
            <w:pPr>
              <w:numPr>
                <w:ilvl w:val="0"/>
                <w:numId w:val="1"/>
              </w:numPr>
              <w:ind w:left="340" w:hanging="170"/>
              <w:jc w:val="left"/>
              <w:rPr>
                <w:szCs w:val="20"/>
              </w:rPr>
            </w:pPr>
            <w:r>
              <w:rPr>
                <w:szCs w:val="20"/>
              </w:rPr>
              <w:t xml:space="preserve">der Adjektive der 3. </w:t>
            </w:r>
            <w:proofErr w:type="spellStart"/>
            <w:r>
              <w:rPr>
                <w:szCs w:val="20"/>
              </w:rPr>
              <w:t>Dekl</w:t>
            </w:r>
            <w:proofErr w:type="spellEnd"/>
            <w:r>
              <w:rPr>
                <w:szCs w:val="20"/>
              </w:rPr>
              <w:t>. (i-Stämme)</w:t>
            </w:r>
          </w:p>
          <w:p w:rsidR="00EF72B5" w:rsidRDefault="00A81E1B">
            <w:pPr>
              <w:numPr>
                <w:ilvl w:val="0"/>
                <w:numId w:val="2"/>
              </w:numPr>
              <w:spacing w:before="60"/>
              <w:jc w:val="left"/>
              <w:rPr>
                <w:szCs w:val="20"/>
              </w:rPr>
            </w:pPr>
            <w:r>
              <w:rPr>
                <w:szCs w:val="20"/>
              </w:rPr>
              <w:t xml:space="preserve">identifizieren die </w:t>
            </w:r>
            <w:r>
              <w:rPr>
                <w:szCs w:val="20"/>
              </w:rPr>
              <w:t>Adverbien</w:t>
            </w:r>
          </w:p>
          <w:p w:rsidR="00EF72B5" w:rsidRDefault="00A81E1B">
            <w:pPr>
              <w:numPr>
                <w:ilvl w:val="0"/>
                <w:numId w:val="2"/>
              </w:numPr>
              <w:spacing w:before="60"/>
              <w:jc w:val="left"/>
              <w:rPr>
                <w:szCs w:val="20"/>
              </w:rPr>
            </w:pPr>
            <w:r>
              <w:rPr>
                <w:szCs w:val="20"/>
              </w:rPr>
              <w:t>erkennen und übersetzen indikativische Relativsätze und relative Satzanschlüsse</w:t>
            </w:r>
          </w:p>
          <w:p w:rsidR="00EF72B5" w:rsidRDefault="00A81E1B">
            <w:pPr>
              <w:numPr>
                <w:ilvl w:val="0"/>
                <w:numId w:val="2"/>
              </w:numPr>
              <w:spacing w:before="60"/>
              <w:jc w:val="left"/>
              <w:rPr>
                <w:szCs w:val="20"/>
              </w:rPr>
            </w:pPr>
            <w:r>
              <w:rPr>
                <w:szCs w:val="20"/>
              </w:rPr>
              <w:t>identifizieren und benennen als Füllungsmöglichkeiten des Satzglieds AB:</w:t>
            </w:r>
          </w:p>
          <w:p w:rsidR="00EF72B5" w:rsidRDefault="00A81E1B">
            <w:pPr>
              <w:numPr>
                <w:ilvl w:val="0"/>
                <w:numId w:val="1"/>
              </w:numPr>
              <w:ind w:left="340" w:hanging="170"/>
              <w:jc w:val="left"/>
            </w:pPr>
            <w:r>
              <w:rPr>
                <w:szCs w:val="20"/>
              </w:rPr>
              <w:t>Adv. zum Adj.</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pPr>
            <w:r>
              <w:rPr>
                <w:szCs w:val="20"/>
              </w:rPr>
              <w:t xml:space="preserve">arbeiten Merkmale der Personencharakterisierung heraus (hier: Cato und </w:t>
            </w:r>
            <w:proofErr w:type="spellStart"/>
            <w:r>
              <w:rPr>
                <w:szCs w:val="20"/>
              </w:rPr>
              <w:t>Deiotarus</w:t>
            </w:r>
            <w:proofErr w:type="spellEnd"/>
            <w:r>
              <w:rPr>
                <w:szCs w:val="20"/>
              </w:rPr>
              <w:t>)</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vergleichen angeleitet Elemente der römischen Gesellschafts- und Lebensstruktur mit denen ihres eigenen Erfahrungs- und Erlebensbereiches (hier: politisches</w:t>
            </w:r>
            <w:r>
              <w:rPr>
                <w:szCs w:val="20"/>
              </w:rPr>
              <w:t xml:space="preserve"> Handeln)</w:t>
            </w:r>
          </w:p>
          <w:p w:rsidR="00EF72B5" w:rsidRDefault="00A81E1B">
            <w:pPr>
              <w:numPr>
                <w:ilvl w:val="0"/>
                <w:numId w:val="2"/>
              </w:numPr>
              <w:spacing w:before="60"/>
              <w:jc w:val="left"/>
              <w:rPr>
                <w:i/>
                <w:szCs w:val="20"/>
              </w:rPr>
            </w:pPr>
            <w:proofErr w:type="spellStart"/>
            <w:r>
              <w:rPr>
                <w:i/>
                <w:szCs w:val="20"/>
              </w:rPr>
              <w:t>cursus</w:t>
            </w:r>
            <w:proofErr w:type="spellEnd"/>
            <w:r>
              <w:rPr>
                <w:i/>
                <w:szCs w:val="20"/>
              </w:rPr>
              <w:t xml:space="preserve"> </w:t>
            </w:r>
            <w:proofErr w:type="spellStart"/>
            <w:r>
              <w:rPr>
                <w:i/>
                <w:szCs w:val="20"/>
              </w:rPr>
              <w:t>honorum</w:t>
            </w:r>
            <w:proofErr w:type="spellEnd"/>
          </w:p>
          <w:p w:rsidR="00EF72B5" w:rsidRDefault="00A81E1B">
            <w:pPr>
              <w:numPr>
                <w:ilvl w:val="0"/>
                <w:numId w:val="2"/>
              </w:numPr>
              <w:spacing w:before="60"/>
              <w:jc w:val="left"/>
              <w:rPr>
                <w:szCs w:val="20"/>
              </w:rPr>
            </w:pPr>
            <w:r>
              <w:rPr>
                <w:szCs w:val="20"/>
              </w:rPr>
              <w:t>Klientelwesen</w:t>
            </w:r>
          </w:p>
          <w:p w:rsidR="00EF72B5" w:rsidRDefault="00A81E1B">
            <w:pPr>
              <w:numPr>
                <w:ilvl w:val="0"/>
                <w:numId w:val="2"/>
              </w:numPr>
              <w:spacing w:before="60"/>
              <w:jc w:val="left"/>
              <w:rPr>
                <w:szCs w:val="20"/>
              </w:rPr>
            </w:pPr>
            <w:r>
              <w:rPr>
                <w:color w:val="008000"/>
                <w:szCs w:val="20"/>
              </w:rPr>
              <w:t>Kern- und Fachbegriffe:</w:t>
            </w:r>
          </w:p>
          <w:p w:rsidR="00EF72B5" w:rsidRDefault="00A81E1B">
            <w:pPr>
              <w:numPr>
                <w:ilvl w:val="0"/>
                <w:numId w:val="1"/>
              </w:numPr>
              <w:ind w:left="340" w:hanging="170"/>
              <w:jc w:val="left"/>
              <w:rPr>
                <w:i/>
                <w:szCs w:val="20"/>
              </w:rPr>
            </w:pPr>
            <w:proofErr w:type="spellStart"/>
            <w:r>
              <w:rPr>
                <w:i/>
                <w:szCs w:val="20"/>
              </w:rPr>
              <w:t>cursus</w:t>
            </w:r>
            <w:proofErr w:type="spellEnd"/>
            <w:r>
              <w:rPr>
                <w:i/>
                <w:szCs w:val="20"/>
              </w:rPr>
              <w:t xml:space="preserve"> </w:t>
            </w:r>
            <w:proofErr w:type="spellStart"/>
            <w:r>
              <w:rPr>
                <w:i/>
                <w:szCs w:val="20"/>
              </w:rPr>
              <w:t>honorum</w:t>
            </w:r>
            <w:proofErr w:type="spellEnd"/>
          </w:p>
          <w:p w:rsidR="00EF72B5" w:rsidRDefault="00A81E1B">
            <w:pPr>
              <w:numPr>
                <w:ilvl w:val="0"/>
                <w:numId w:val="1"/>
              </w:numPr>
              <w:ind w:left="340" w:hanging="170"/>
              <w:jc w:val="left"/>
              <w:rPr>
                <w:i/>
                <w:szCs w:val="20"/>
              </w:rPr>
            </w:pPr>
            <w:proofErr w:type="spellStart"/>
            <w:r>
              <w:rPr>
                <w:i/>
                <w:szCs w:val="20"/>
              </w:rPr>
              <w:t>amicitia</w:t>
            </w:r>
            <w:proofErr w:type="spellEnd"/>
          </w:p>
          <w:p w:rsidR="00EF72B5" w:rsidRDefault="00A81E1B">
            <w:pPr>
              <w:numPr>
                <w:ilvl w:val="0"/>
                <w:numId w:val="1"/>
              </w:numPr>
              <w:ind w:left="340" w:hanging="170"/>
              <w:jc w:val="left"/>
              <w:rPr>
                <w:szCs w:val="20"/>
              </w:rPr>
            </w:pPr>
            <w:r>
              <w:rPr>
                <w:i/>
                <w:szCs w:val="20"/>
              </w:rPr>
              <w:t>homo novus</w:t>
            </w:r>
            <w:r>
              <w:rPr>
                <w:szCs w:val="20"/>
              </w:rPr>
              <w:t xml:space="preserve"> (+)</w:t>
            </w:r>
          </w:p>
          <w:p w:rsidR="00EF72B5" w:rsidRDefault="00A81E1B">
            <w:pPr>
              <w:numPr>
                <w:ilvl w:val="0"/>
                <w:numId w:val="1"/>
              </w:numPr>
              <w:ind w:left="340" w:hanging="170"/>
              <w:jc w:val="left"/>
              <w:rPr>
                <w:szCs w:val="20"/>
              </w:rPr>
            </w:pPr>
            <w:proofErr w:type="spellStart"/>
            <w:r>
              <w:rPr>
                <w:i/>
                <w:szCs w:val="20"/>
              </w:rPr>
              <w:t>salutatio</w:t>
            </w:r>
            <w:proofErr w:type="spellEnd"/>
            <w:r>
              <w:rPr>
                <w:szCs w:val="20"/>
              </w:rPr>
              <w:t xml:space="preserve"> (+)</w:t>
            </w:r>
          </w:p>
          <w:p w:rsidR="00EF72B5" w:rsidRDefault="00A81E1B">
            <w:pPr>
              <w:numPr>
                <w:ilvl w:val="0"/>
                <w:numId w:val="1"/>
              </w:numPr>
              <w:ind w:left="340" w:hanging="170"/>
              <w:jc w:val="left"/>
              <w:rPr>
                <w:i/>
                <w:szCs w:val="20"/>
              </w:rPr>
            </w:pPr>
            <w:r>
              <w:rPr>
                <w:szCs w:val="20"/>
              </w:rPr>
              <w:t>Klienten (+)</w:t>
            </w:r>
          </w:p>
          <w:p w:rsidR="00EF72B5" w:rsidRDefault="00A81E1B">
            <w:pPr>
              <w:numPr>
                <w:ilvl w:val="0"/>
                <w:numId w:val="1"/>
              </w:numPr>
              <w:ind w:left="340" w:hanging="170"/>
              <w:jc w:val="left"/>
              <w:rPr>
                <w:szCs w:val="20"/>
              </w:rPr>
            </w:pPr>
            <w:r>
              <w:rPr>
                <w:szCs w:val="20"/>
              </w:rPr>
              <w:t>Patron (+)</w:t>
            </w:r>
          </w:p>
          <w:p w:rsidR="00EF72B5" w:rsidRDefault="00A81E1B">
            <w:pPr>
              <w:numPr>
                <w:ilvl w:val="0"/>
                <w:numId w:val="1"/>
              </w:numPr>
              <w:ind w:left="340" w:hanging="170"/>
              <w:jc w:val="left"/>
            </w:pPr>
            <w:proofErr w:type="spellStart"/>
            <w:r>
              <w:rPr>
                <w:i/>
                <w:szCs w:val="20"/>
              </w:rPr>
              <w:t>toga</w:t>
            </w:r>
            <w:proofErr w:type="spellEnd"/>
            <w:r>
              <w:rPr>
                <w:i/>
                <w:szCs w:val="20"/>
              </w:rPr>
              <w:t xml:space="preserve"> </w:t>
            </w:r>
            <w:proofErr w:type="spellStart"/>
            <w:r>
              <w:rPr>
                <w:i/>
                <w:szCs w:val="20"/>
              </w:rPr>
              <w:t>candida</w:t>
            </w:r>
            <w:proofErr w:type="spellEnd"/>
            <w:r>
              <w:rPr>
                <w:szCs w:val="20"/>
              </w:rPr>
              <w:t xml:space="preserve">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Anmerkungen/Sonstiges</w:t>
            </w:r>
          </w:p>
          <w:p w:rsidR="00EF72B5" w:rsidRDefault="00EF72B5">
            <w:pPr>
              <w:spacing w:before="60"/>
              <w:jc w:val="left"/>
              <w:rPr>
                <w:szCs w:val="20"/>
              </w:rPr>
            </w:pPr>
          </w:p>
          <w:p w:rsidR="00EF72B5" w:rsidRDefault="00EF72B5">
            <w:pPr>
              <w:spacing w:before="60"/>
              <w:jc w:val="left"/>
              <w:rPr>
                <w:szCs w:val="20"/>
              </w:rPr>
            </w:pPr>
          </w:p>
          <w:p w:rsidR="00EF72B5" w:rsidRDefault="00EF72B5">
            <w:pPr>
              <w:spacing w:before="60"/>
              <w:jc w:val="left"/>
              <w:rPr>
                <w:szCs w:val="20"/>
              </w:rPr>
            </w:pPr>
          </w:p>
          <w:p w:rsidR="00EF72B5" w:rsidRDefault="00EF72B5">
            <w:pPr>
              <w:spacing w:before="60"/>
              <w:jc w:val="left"/>
              <w:rPr>
                <w:szCs w:val="20"/>
              </w:rPr>
            </w:pPr>
          </w:p>
        </w:tc>
      </w:tr>
    </w:tbl>
    <w:p w:rsidR="00EF72B5" w:rsidRDefault="00EF72B5"/>
    <w:p w:rsidR="00EF72B5" w:rsidRDefault="00A81E1B">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17</w:t>
            </w:r>
            <w:r>
              <w:rPr>
                <w:b/>
                <w:color w:val="3333CC"/>
                <w:szCs w:val="20"/>
              </w:rPr>
              <w:tab/>
              <w:t>Ein VIP der Antike: Caesar</w:t>
            </w:r>
          </w:p>
          <w:p w:rsidR="00EF72B5" w:rsidRDefault="00A81E1B">
            <w:pPr>
              <w:numPr>
                <w:ilvl w:val="0"/>
                <w:numId w:val="2"/>
              </w:numPr>
              <w:spacing w:before="60"/>
              <w:jc w:val="left"/>
              <w:rPr>
                <w:szCs w:val="20"/>
              </w:rPr>
            </w:pPr>
            <w:r>
              <w:rPr>
                <w:szCs w:val="20"/>
              </w:rPr>
              <w:t>PPP</w:t>
            </w:r>
          </w:p>
          <w:p w:rsidR="00EF72B5" w:rsidRDefault="00A81E1B">
            <w:pPr>
              <w:numPr>
                <w:ilvl w:val="0"/>
                <w:numId w:val="2"/>
              </w:numPr>
              <w:spacing w:before="60"/>
              <w:jc w:val="left"/>
              <w:rPr>
                <w:szCs w:val="20"/>
              </w:rPr>
            </w:pPr>
            <w:r>
              <w:rPr>
                <w:szCs w:val="20"/>
              </w:rPr>
              <w:t>PC</w:t>
            </w:r>
          </w:p>
          <w:p w:rsidR="00EF72B5" w:rsidRDefault="00A81E1B">
            <w:pPr>
              <w:numPr>
                <w:ilvl w:val="0"/>
                <w:numId w:val="2"/>
              </w:numPr>
              <w:spacing w:before="60"/>
              <w:jc w:val="left"/>
            </w:pPr>
            <w:r>
              <w:rPr>
                <w:szCs w:val="20"/>
              </w:rPr>
              <w:t>Adj. als Mengenangabe</w:t>
            </w:r>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34 neue </w:t>
            </w:r>
            <w:proofErr w:type="spellStart"/>
            <w:r>
              <w:rPr>
                <w:szCs w:val="20"/>
              </w:rPr>
              <w:t>Vok</w:t>
            </w:r>
            <w:proofErr w:type="spellEnd"/>
            <w:r>
              <w:rPr>
                <w:szCs w:val="20"/>
              </w:rPr>
              <w:t>. (insges. 466)</w:t>
            </w:r>
          </w:p>
          <w:p w:rsidR="00EF72B5" w:rsidRDefault="00A81E1B">
            <w:pPr>
              <w:numPr>
                <w:ilvl w:val="0"/>
                <w:numId w:val="2"/>
              </w:numPr>
              <w:spacing w:before="60"/>
              <w:jc w:val="left"/>
              <w:rPr>
                <w:szCs w:val="20"/>
              </w:rPr>
            </w:pPr>
            <w:r>
              <w:rPr>
                <w:szCs w:val="20"/>
              </w:rPr>
              <w:t>wenden ihr Wissen um die Wortbildung auf parallele Beispiele bei anderen Wörtern an (z.</w:t>
            </w:r>
            <w:r>
              <w:rPr>
                <w:sz w:val="14"/>
                <w:szCs w:val="20"/>
              </w:rPr>
              <w:t> </w:t>
            </w:r>
            <w:r>
              <w:rPr>
                <w:szCs w:val="20"/>
              </w:rPr>
              <w:t xml:space="preserve">B. </w:t>
            </w:r>
            <w:proofErr w:type="spellStart"/>
            <w:r>
              <w:rPr>
                <w:i/>
                <w:szCs w:val="20"/>
              </w:rPr>
              <w:t>orator</w:t>
            </w:r>
            <w:proofErr w:type="spellEnd"/>
            <w:r>
              <w:rPr>
                <w:szCs w:val="20"/>
              </w:rPr>
              <w:t xml:space="preserve"> – </w:t>
            </w:r>
            <w:proofErr w:type="spellStart"/>
            <w:r>
              <w:rPr>
                <w:i/>
                <w:szCs w:val="20"/>
              </w:rPr>
              <w:t>mercator</w:t>
            </w:r>
            <w:proofErr w:type="spellEnd"/>
            <w:r>
              <w:rPr>
                <w:szCs w:val="20"/>
              </w:rPr>
              <w:t>, Ü 7)</w:t>
            </w:r>
          </w:p>
          <w:p w:rsidR="00EF72B5" w:rsidRDefault="00A81E1B">
            <w:pPr>
              <w:numPr>
                <w:ilvl w:val="0"/>
                <w:numId w:val="2"/>
              </w:numPr>
              <w:spacing w:before="60"/>
              <w:jc w:val="left"/>
              <w:rPr>
                <w:szCs w:val="20"/>
              </w:rPr>
            </w:pPr>
            <w:r>
              <w:rPr>
                <w:szCs w:val="20"/>
              </w:rPr>
              <w:t>geben die Paradigmen wieder:</w:t>
            </w:r>
          </w:p>
          <w:p w:rsidR="00EF72B5" w:rsidRDefault="00A81E1B">
            <w:pPr>
              <w:numPr>
                <w:ilvl w:val="0"/>
                <w:numId w:val="1"/>
              </w:numPr>
              <w:ind w:left="340" w:hanging="170"/>
              <w:jc w:val="left"/>
              <w:rPr>
                <w:szCs w:val="20"/>
              </w:rPr>
            </w:pPr>
            <w:r>
              <w:rPr>
                <w:szCs w:val="20"/>
              </w:rPr>
              <w:t>des PPP</w:t>
            </w:r>
          </w:p>
          <w:p w:rsidR="00EF72B5" w:rsidRDefault="00A81E1B">
            <w:pPr>
              <w:numPr>
                <w:ilvl w:val="0"/>
                <w:numId w:val="1"/>
              </w:numPr>
              <w:ind w:left="340" w:hanging="170"/>
              <w:jc w:val="left"/>
              <w:rPr>
                <w:szCs w:val="20"/>
              </w:rPr>
            </w:pPr>
            <w:r>
              <w:rPr>
                <w:szCs w:val="20"/>
              </w:rPr>
              <w:t xml:space="preserve">der Adjektive der 3. </w:t>
            </w:r>
            <w:proofErr w:type="spellStart"/>
            <w:r>
              <w:rPr>
                <w:szCs w:val="20"/>
              </w:rPr>
              <w:t>Dekl</w:t>
            </w:r>
            <w:proofErr w:type="spellEnd"/>
            <w:r>
              <w:rPr>
                <w:szCs w:val="20"/>
              </w:rPr>
              <w:t xml:space="preserve">. (hier: </w:t>
            </w:r>
            <w:proofErr w:type="spellStart"/>
            <w:r>
              <w:rPr>
                <w:i/>
                <w:szCs w:val="20"/>
              </w:rPr>
              <w:t>dives</w:t>
            </w:r>
            <w:proofErr w:type="spellEnd"/>
            <w:r>
              <w:rPr>
                <w:szCs w:val="20"/>
              </w:rPr>
              <w:t>)</w:t>
            </w:r>
          </w:p>
          <w:p w:rsidR="00EF72B5" w:rsidRDefault="00A81E1B">
            <w:pPr>
              <w:numPr>
                <w:ilvl w:val="0"/>
                <w:numId w:val="2"/>
              </w:numPr>
              <w:spacing w:before="60"/>
              <w:jc w:val="left"/>
              <w:rPr>
                <w:szCs w:val="20"/>
              </w:rPr>
            </w:pPr>
            <w:r>
              <w:rPr>
                <w:szCs w:val="20"/>
              </w:rPr>
              <w:t xml:space="preserve">bestimmen und </w:t>
            </w:r>
            <w:r>
              <w:rPr>
                <w:szCs w:val="20"/>
              </w:rPr>
              <w:t>unterscheiden die lateinischen Formen sicher, indem sie insbesondere auch schwierigere flektierte Formen (hier: PPP) auf ihre Grundform zurückführen</w:t>
            </w:r>
          </w:p>
          <w:p w:rsidR="00EF72B5" w:rsidRDefault="00A81E1B">
            <w:pPr>
              <w:numPr>
                <w:ilvl w:val="0"/>
                <w:numId w:val="2"/>
              </w:numPr>
              <w:spacing w:before="60"/>
              <w:jc w:val="left"/>
              <w:rPr>
                <w:szCs w:val="20"/>
              </w:rPr>
            </w:pPr>
            <w:r>
              <w:rPr>
                <w:szCs w:val="20"/>
              </w:rPr>
              <w:t>unterscheiden bei den Partizipien</w:t>
            </w:r>
            <w:r>
              <w:rPr>
                <w:rFonts w:eastAsiaTheme="majorEastAsia"/>
                <w:szCs w:val="20"/>
              </w:rPr>
              <w:t xml:space="preserve"> </w:t>
            </w:r>
            <w:r>
              <w:rPr>
                <w:szCs w:val="20"/>
              </w:rPr>
              <w:t>die Zeitverhältnisse (hier: Vorzeitigkeit)</w:t>
            </w:r>
          </w:p>
          <w:p w:rsidR="00EF72B5" w:rsidRDefault="00A81E1B">
            <w:pPr>
              <w:numPr>
                <w:ilvl w:val="0"/>
                <w:numId w:val="2"/>
              </w:numPr>
              <w:spacing w:before="60"/>
              <w:jc w:val="left"/>
              <w:rPr>
                <w:szCs w:val="20"/>
              </w:rPr>
            </w:pPr>
            <w:r>
              <w:rPr>
                <w:szCs w:val="20"/>
              </w:rPr>
              <w:t>identifizieren die satzwertige</w:t>
            </w:r>
            <w:r>
              <w:rPr>
                <w:szCs w:val="20"/>
              </w:rPr>
              <w:t xml:space="preserve"> Konstruktion PC, benennen ihre Bestandteile und übersetzen sie adäquat (hier: Unterordnung)</w:t>
            </w:r>
          </w:p>
          <w:p w:rsidR="00EF72B5" w:rsidRDefault="00A81E1B">
            <w:pPr>
              <w:numPr>
                <w:ilvl w:val="0"/>
                <w:numId w:val="2"/>
              </w:numPr>
              <w:spacing w:before="60"/>
              <w:jc w:val="left"/>
            </w:pPr>
            <w:r>
              <w:rPr>
                <w:szCs w:val="20"/>
              </w:rPr>
              <w:t xml:space="preserve">bestimmen mehrdeutige Konjunktionen jeweils aus dem Kontext eindeutig (Ü 4: </w:t>
            </w:r>
            <w:r>
              <w:rPr>
                <w:i/>
                <w:szCs w:val="20"/>
              </w:rPr>
              <w:t>cum</w:t>
            </w:r>
            <w:r>
              <w:rPr>
                <w:szCs w:val="20"/>
              </w:rPr>
              <w:t>)</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rPr>
                <w:szCs w:val="20"/>
              </w:rPr>
            </w:pPr>
            <w:r>
              <w:rPr>
                <w:szCs w:val="20"/>
              </w:rPr>
              <w:t>prüfen die Übersetzbarkeit lateinischer Strukturen (hier: PC)</w:t>
            </w:r>
          </w:p>
          <w:p w:rsidR="00EF72B5" w:rsidRDefault="00A81E1B">
            <w:pPr>
              <w:numPr>
                <w:ilvl w:val="0"/>
                <w:numId w:val="2"/>
              </w:numPr>
              <w:spacing w:before="60"/>
              <w:jc w:val="left"/>
              <w:rPr>
                <w:szCs w:val="20"/>
              </w:rPr>
            </w:pPr>
            <w:r>
              <w:rPr>
                <w:szCs w:val="20"/>
              </w:rPr>
              <w:t>setzen den Inhalt des übersetzten Textes gestaltend um (hier: szenische Darstellung)</w:t>
            </w:r>
          </w:p>
          <w:p w:rsidR="00EF72B5" w:rsidRDefault="00A81E1B">
            <w:pPr>
              <w:numPr>
                <w:ilvl w:val="0"/>
                <w:numId w:val="2"/>
              </w:numPr>
              <w:spacing w:before="60"/>
              <w:jc w:val="left"/>
            </w:pPr>
            <w:r>
              <w:rPr>
                <w:szCs w:val="20"/>
              </w:rPr>
              <w:t>nehmen begründet Stellung zur zentralen Aussage des Textes (</w:t>
            </w:r>
            <w:r>
              <w:t>S.</w:t>
            </w:r>
            <w:r>
              <w:rPr>
                <w:sz w:val="14"/>
              </w:rPr>
              <w:t> </w:t>
            </w:r>
            <w:r>
              <w:rPr>
                <w:szCs w:val="20"/>
              </w:rPr>
              <w:t xml:space="preserve">31, </w:t>
            </w:r>
            <w:proofErr w:type="spellStart"/>
            <w:r>
              <w:rPr>
                <w:szCs w:val="20"/>
              </w:rPr>
              <w:t>Aufg</w:t>
            </w:r>
            <w:proofErr w:type="spellEnd"/>
            <w:r>
              <w:rPr>
                <w:szCs w:val="20"/>
              </w:rPr>
              <w:t>.</w:t>
            </w:r>
            <w:r>
              <w:rPr>
                <w:sz w:val="14"/>
                <w:szCs w:val="20"/>
              </w:rPr>
              <w:t> </w:t>
            </w:r>
            <w:r>
              <w:rPr>
                <w:szCs w:val="20"/>
              </w:rPr>
              <w:t>1a)</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Caesar</w:t>
            </w:r>
          </w:p>
          <w:p w:rsidR="00EF72B5" w:rsidRDefault="00A81E1B">
            <w:pPr>
              <w:numPr>
                <w:ilvl w:val="0"/>
                <w:numId w:val="2"/>
              </w:numPr>
              <w:spacing w:before="60"/>
              <w:jc w:val="left"/>
              <w:rPr>
                <w:szCs w:val="20"/>
              </w:rPr>
            </w:pPr>
            <w:r>
              <w:rPr>
                <w:szCs w:val="20"/>
              </w:rPr>
              <w:t xml:space="preserve">vergleichen angeleitet Elemente der römischen Gesellschafts- und </w:t>
            </w:r>
            <w:r>
              <w:rPr>
                <w:szCs w:val="20"/>
              </w:rPr>
              <w:t>Lebensstruktur mit denen ihres eigenen Erfahrungs- und Erlebensbereiches (hier: Piraten)</w:t>
            </w:r>
          </w:p>
          <w:p w:rsidR="00EF72B5" w:rsidRDefault="00A81E1B">
            <w:pPr>
              <w:numPr>
                <w:ilvl w:val="0"/>
                <w:numId w:val="2"/>
              </w:numPr>
              <w:spacing w:before="60"/>
              <w:jc w:val="left"/>
              <w:rPr>
                <w:szCs w:val="20"/>
              </w:rPr>
            </w:pPr>
            <w:r>
              <w:rPr>
                <w:color w:val="008000"/>
                <w:szCs w:val="20"/>
              </w:rPr>
              <w:t>Fachbegriffe und Namen:</w:t>
            </w:r>
          </w:p>
          <w:p w:rsidR="00EF72B5" w:rsidRDefault="00A81E1B">
            <w:pPr>
              <w:numPr>
                <w:ilvl w:val="0"/>
                <w:numId w:val="1"/>
              </w:numPr>
              <w:ind w:left="340" w:hanging="170"/>
              <w:jc w:val="left"/>
              <w:rPr>
                <w:i/>
                <w:szCs w:val="20"/>
              </w:rPr>
            </w:pPr>
            <w:r>
              <w:rPr>
                <w:szCs w:val="20"/>
              </w:rPr>
              <w:t>Triumvirat (+)</w:t>
            </w:r>
          </w:p>
          <w:p w:rsidR="00EF72B5" w:rsidRDefault="00A81E1B">
            <w:pPr>
              <w:numPr>
                <w:ilvl w:val="0"/>
                <w:numId w:val="1"/>
              </w:numPr>
              <w:ind w:left="340" w:hanging="170"/>
              <w:jc w:val="left"/>
            </w:pPr>
            <w:r>
              <w:rPr>
                <w:szCs w:val="20"/>
              </w:rPr>
              <w:t>Rubikon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CC0066"/>
              </w:rPr>
            </w:pPr>
            <w:r>
              <w:rPr>
                <w:b/>
                <w:color w:val="CC0066"/>
              </w:rPr>
              <w:t>Anmerkungen/Sonstiges</w:t>
            </w:r>
          </w:p>
          <w:p w:rsidR="00EF72B5" w:rsidRDefault="00EF72B5">
            <w:pPr>
              <w:spacing w:before="60"/>
              <w:jc w:val="left"/>
            </w:pPr>
          </w:p>
          <w:p w:rsidR="00EF72B5" w:rsidRDefault="00EF72B5">
            <w:pPr>
              <w:spacing w:before="60"/>
              <w:jc w:val="left"/>
            </w:pPr>
          </w:p>
          <w:p w:rsidR="00EF72B5" w:rsidRDefault="00EF72B5">
            <w:pPr>
              <w:spacing w:before="60"/>
              <w:jc w:val="left"/>
            </w:pPr>
          </w:p>
          <w:p w:rsidR="00EF72B5" w:rsidRDefault="00EF72B5">
            <w:pPr>
              <w:spacing w:before="60"/>
            </w:pPr>
          </w:p>
        </w:tc>
      </w:tr>
    </w:tbl>
    <w:p w:rsidR="00EF72B5" w:rsidRDefault="00EF72B5"/>
    <w:p w:rsidR="00EF72B5" w:rsidRDefault="00A81E1B">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18</w:t>
            </w:r>
            <w:r>
              <w:rPr>
                <w:b/>
                <w:color w:val="3333CC"/>
                <w:szCs w:val="20"/>
              </w:rPr>
              <w:tab/>
              <w:t>Cicero und die Republik</w:t>
            </w:r>
          </w:p>
          <w:p w:rsidR="00EF72B5" w:rsidRDefault="00A81E1B">
            <w:pPr>
              <w:numPr>
                <w:ilvl w:val="0"/>
                <w:numId w:val="2"/>
              </w:numPr>
              <w:spacing w:before="60"/>
              <w:jc w:val="left"/>
              <w:rPr>
                <w:szCs w:val="20"/>
              </w:rPr>
            </w:pPr>
            <w:r>
              <w:rPr>
                <w:szCs w:val="20"/>
              </w:rPr>
              <w:t xml:space="preserve">Gen. </w:t>
            </w:r>
            <w:proofErr w:type="spellStart"/>
            <w:r>
              <w:rPr>
                <w:szCs w:val="20"/>
              </w:rPr>
              <w:t>subi</w:t>
            </w:r>
            <w:proofErr w:type="spellEnd"/>
            <w:r>
              <w:rPr>
                <w:szCs w:val="20"/>
              </w:rPr>
              <w:t xml:space="preserve">. und </w:t>
            </w:r>
            <w:proofErr w:type="spellStart"/>
            <w:r>
              <w:rPr>
                <w:szCs w:val="20"/>
              </w:rPr>
              <w:t>obi</w:t>
            </w:r>
            <w:proofErr w:type="spellEnd"/>
            <w:r>
              <w:rPr>
                <w:szCs w:val="20"/>
              </w:rPr>
              <w:t>.</w:t>
            </w:r>
          </w:p>
          <w:p w:rsidR="00EF72B5" w:rsidRDefault="00A81E1B">
            <w:pPr>
              <w:numPr>
                <w:ilvl w:val="0"/>
                <w:numId w:val="2"/>
              </w:numPr>
              <w:spacing w:before="60"/>
              <w:jc w:val="left"/>
              <w:rPr>
                <w:szCs w:val="20"/>
              </w:rPr>
            </w:pPr>
            <w:r>
              <w:rPr>
                <w:szCs w:val="20"/>
              </w:rPr>
              <w:t>Gen. part.</w:t>
            </w:r>
          </w:p>
          <w:p w:rsidR="00EF72B5" w:rsidRDefault="00A81E1B">
            <w:pPr>
              <w:numPr>
                <w:ilvl w:val="0"/>
                <w:numId w:val="2"/>
              </w:numPr>
              <w:spacing w:before="60"/>
              <w:jc w:val="left"/>
              <w:rPr>
                <w:i/>
                <w:szCs w:val="20"/>
              </w:rPr>
            </w:pPr>
            <w:proofErr w:type="spellStart"/>
            <w:r>
              <w:rPr>
                <w:i/>
                <w:szCs w:val="20"/>
              </w:rPr>
              <w:t>iste</w:t>
            </w:r>
            <w:proofErr w:type="spellEnd"/>
          </w:p>
          <w:p w:rsidR="00EF72B5" w:rsidRDefault="00A81E1B">
            <w:pPr>
              <w:numPr>
                <w:ilvl w:val="0"/>
                <w:numId w:val="2"/>
              </w:numPr>
              <w:spacing w:before="60"/>
              <w:jc w:val="left"/>
            </w:pPr>
            <w:r>
              <w:rPr>
                <w:szCs w:val="20"/>
              </w:rPr>
              <w:t xml:space="preserve">Gen. part. des </w:t>
            </w:r>
            <w:proofErr w:type="spellStart"/>
            <w:r>
              <w:rPr>
                <w:szCs w:val="20"/>
              </w:rPr>
              <w:t>Pron</w:t>
            </w:r>
            <w:proofErr w:type="spellEnd"/>
            <w:r>
              <w:rPr>
                <w:szCs w:val="20"/>
              </w:rPr>
              <w:t xml:space="preserve">. </w:t>
            </w:r>
            <w:r>
              <w:rPr>
                <w:szCs w:val="20"/>
              </w:rPr>
              <w:t>pers.</w:t>
            </w:r>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31 neue </w:t>
            </w:r>
            <w:proofErr w:type="spellStart"/>
            <w:r>
              <w:rPr>
                <w:szCs w:val="20"/>
              </w:rPr>
              <w:t>Vok</w:t>
            </w:r>
            <w:proofErr w:type="spellEnd"/>
            <w:r>
              <w:rPr>
                <w:szCs w:val="20"/>
              </w:rPr>
              <w:t>. (insges. 497)</w:t>
            </w:r>
          </w:p>
          <w:p w:rsidR="00EF72B5" w:rsidRDefault="00A81E1B">
            <w:pPr>
              <w:numPr>
                <w:ilvl w:val="0"/>
                <w:numId w:val="2"/>
              </w:numPr>
              <w:spacing w:before="60"/>
              <w:jc w:val="left"/>
              <w:rPr>
                <w:szCs w:val="20"/>
              </w:rPr>
            </w:pPr>
            <w:r>
              <w:rPr>
                <w:szCs w:val="20"/>
              </w:rPr>
              <w:t>unterscheiden Pronomina (</w:t>
            </w:r>
            <w:proofErr w:type="spellStart"/>
            <w:r>
              <w:rPr>
                <w:i/>
                <w:szCs w:val="20"/>
              </w:rPr>
              <w:t>hic</w:t>
            </w:r>
            <w:proofErr w:type="spellEnd"/>
            <w:r>
              <w:rPr>
                <w:szCs w:val="20"/>
              </w:rPr>
              <w:t xml:space="preserve">, </w:t>
            </w:r>
            <w:proofErr w:type="spellStart"/>
            <w:r>
              <w:rPr>
                <w:i/>
                <w:szCs w:val="20"/>
              </w:rPr>
              <w:t>ille</w:t>
            </w:r>
            <w:proofErr w:type="spellEnd"/>
            <w:r>
              <w:rPr>
                <w:szCs w:val="20"/>
              </w:rPr>
              <w:t xml:space="preserve">, </w:t>
            </w:r>
            <w:proofErr w:type="spellStart"/>
            <w:r>
              <w:rPr>
                <w:i/>
                <w:szCs w:val="20"/>
              </w:rPr>
              <w:t>ipse</w:t>
            </w:r>
            <w:proofErr w:type="spellEnd"/>
            <w:r>
              <w:rPr>
                <w:szCs w:val="20"/>
              </w:rPr>
              <w:t xml:space="preserve">, </w:t>
            </w:r>
            <w:proofErr w:type="spellStart"/>
            <w:r>
              <w:rPr>
                <w:i/>
                <w:szCs w:val="20"/>
              </w:rPr>
              <w:t>iste</w:t>
            </w:r>
            <w:proofErr w:type="spellEnd"/>
            <w:r>
              <w:rPr>
                <w:szCs w:val="20"/>
              </w:rPr>
              <w:t>)</w:t>
            </w:r>
          </w:p>
          <w:p w:rsidR="00EF72B5" w:rsidRDefault="00A81E1B">
            <w:pPr>
              <w:numPr>
                <w:ilvl w:val="0"/>
                <w:numId w:val="2"/>
              </w:numPr>
              <w:spacing w:before="60"/>
              <w:jc w:val="left"/>
              <w:rPr>
                <w:szCs w:val="20"/>
              </w:rPr>
            </w:pPr>
            <w:r>
              <w:rPr>
                <w:szCs w:val="20"/>
              </w:rPr>
              <w:t xml:space="preserve">bestimmen und unterscheiden die lateinischen Formen sicher, indem sie insbesondere auch schwierigere flektierte Formen (hier: Pronomina) auf ihre Grundform </w:t>
            </w:r>
            <w:r>
              <w:rPr>
                <w:szCs w:val="20"/>
              </w:rPr>
              <w:t>zurückführen (Ü 5)</w:t>
            </w:r>
          </w:p>
          <w:p w:rsidR="00EF72B5" w:rsidRDefault="00A81E1B">
            <w:pPr>
              <w:numPr>
                <w:ilvl w:val="0"/>
                <w:numId w:val="2"/>
              </w:numPr>
              <w:spacing w:before="60"/>
              <w:jc w:val="left"/>
              <w:rPr>
                <w:szCs w:val="20"/>
              </w:rPr>
            </w:pPr>
            <w:r>
              <w:rPr>
                <w:szCs w:val="20"/>
              </w:rPr>
              <w:t>identifizieren die satzwertige Konstruktion PC, benennen ihre Bestandteile und übersetzen sie adäquat (hier: Substantivierung, Beiordnung)</w:t>
            </w:r>
          </w:p>
          <w:p w:rsidR="00EF72B5" w:rsidRDefault="00A81E1B">
            <w:pPr>
              <w:numPr>
                <w:ilvl w:val="0"/>
                <w:numId w:val="2"/>
              </w:numPr>
              <w:spacing w:before="60"/>
              <w:jc w:val="left"/>
              <w:rPr>
                <w:szCs w:val="20"/>
              </w:rPr>
            </w:pPr>
            <w:r>
              <w:rPr>
                <w:szCs w:val="20"/>
              </w:rPr>
              <w:t>unterscheiden weitere Kasusfunktionen:</w:t>
            </w:r>
          </w:p>
          <w:p w:rsidR="00EF72B5" w:rsidRDefault="00A81E1B">
            <w:pPr>
              <w:numPr>
                <w:ilvl w:val="0"/>
                <w:numId w:val="1"/>
              </w:numPr>
              <w:ind w:left="340" w:hanging="170"/>
              <w:jc w:val="left"/>
              <w:rPr>
                <w:szCs w:val="20"/>
              </w:rPr>
            </w:pPr>
            <w:r>
              <w:rPr>
                <w:szCs w:val="20"/>
              </w:rPr>
              <w:t xml:space="preserve">Gen. </w:t>
            </w:r>
            <w:proofErr w:type="spellStart"/>
            <w:r>
              <w:rPr>
                <w:szCs w:val="20"/>
              </w:rPr>
              <w:t>subi</w:t>
            </w:r>
            <w:proofErr w:type="spellEnd"/>
            <w:r>
              <w:rPr>
                <w:szCs w:val="20"/>
              </w:rPr>
              <w:t xml:space="preserve">. und </w:t>
            </w:r>
            <w:proofErr w:type="spellStart"/>
            <w:r>
              <w:rPr>
                <w:szCs w:val="20"/>
              </w:rPr>
              <w:t>obi</w:t>
            </w:r>
            <w:proofErr w:type="spellEnd"/>
            <w:r>
              <w:rPr>
                <w:szCs w:val="20"/>
              </w:rPr>
              <w:t>.</w:t>
            </w:r>
          </w:p>
          <w:p w:rsidR="00EF72B5" w:rsidRDefault="00A81E1B">
            <w:pPr>
              <w:numPr>
                <w:ilvl w:val="0"/>
                <w:numId w:val="1"/>
              </w:numPr>
              <w:ind w:left="340" w:hanging="170"/>
              <w:jc w:val="left"/>
              <w:rPr>
                <w:szCs w:val="20"/>
              </w:rPr>
            </w:pPr>
            <w:r>
              <w:rPr>
                <w:szCs w:val="20"/>
              </w:rPr>
              <w:t>Gen. part.</w:t>
            </w:r>
          </w:p>
          <w:p w:rsidR="00EF72B5" w:rsidRDefault="00A81E1B">
            <w:pPr>
              <w:numPr>
                <w:ilvl w:val="0"/>
                <w:numId w:val="2"/>
              </w:numPr>
              <w:spacing w:before="60"/>
              <w:jc w:val="left"/>
            </w:pPr>
            <w:r>
              <w:rPr>
                <w:szCs w:val="20"/>
              </w:rPr>
              <w:t>vergleichen satzwertige Kons</w:t>
            </w:r>
            <w:r>
              <w:rPr>
                <w:szCs w:val="20"/>
              </w:rPr>
              <w:t>truktionen (hier: PC) im Lateinischen mit Wiedergabemöglichkeiten im Deutschen</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rPr>
                <w:szCs w:val="20"/>
              </w:rPr>
            </w:pPr>
            <w:r>
              <w:rPr>
                <w:szCs w:val="20"/>
              </w:rPr>
              <w:t>arbeiten die Grobstruktur eines Textes heraus</w:t>
            </w:r>
          </w:p>
          <w:p w:rsidR="00EF72B5" w:rsidRDefault="00A81E1B">
            <w:pPr>
              <w:numPr>
                <w:ilvl w:val="0"/>
                <w:numId w:val="2"/>
              </w:numPr>
              <w:spacing w:before="60"/>
              <w:jc w:val="left"/>
              <w:rPr>
                <w:szCs w:val="20"/>
              </w:rPr>
            </w:pPr>
            <w:r>
              <w:rPr>
                <w:szCs w:val="20"/>
              </w:rPr>
              <w:t>erklären die Funktion von Wortwahl (hier: Sachfelder)</w:t>
            </w:r>
          </w:p>
          <w:p w:rsidR="00EF72B5" w:rsidRDefault="00A81E1B">
            <w:pPr>
              <w:numPr>
                <w:ilvl w:val="0"/>
                <w:numId w:val="2"/>
              </w:numPr>
              <w:spacing w:before="60"/>
              <w:jc w:val="left"/>
              <w:rPr>
                <w:szCs w:val="20"/>
              </w:rPr>
            </w:pPr>
            <w:r>
              <w:rPr>
                <w:szCs w:val="20"/>
              </w:rPr>
              <w:t>benennen stilistische Gestaltungsmittel des Textes (hier: Hyp</w:t>
            </w:r>
            <w:r>
              <w:rPr>
                <w:szCs w:val="20"/>
              </w:rPr>
              <w:t xml:space="preserve">erbaton [+], </w:t>
            </w:r>
            <w:proofErr w:type="spellStart"/>
            <w:r>
              <w:rPr>
                <w:szCs w:val="20"/>
              </w:rPr>
              <w:t>Trikolon</w:t>
            </w:r>
            <w:proofErr w:type="spellEnd"/>
            <w:r>
              <w:rPr>
                <w:szCs w:val="20"/>
              </w:rPr>
              <w:t xml:space="preserve"> [+]) und beschreiben ihre Wirkung</w:t>
            </w:r>
          </w:p>
          <w:p w:rsidR="00EF72B5" w:rsidRDefault="00A81E1B">
            <w:pPr>
              <w:numPr>
                <w:ilvl w:val="0"/>
                <w:numId w:val="2"/>
              </w:numPr>
              <w:spacing w:before="60"/>
              <w:jc w:val="left"/>
              <w:rPr>
                <w:szCs w:val="20"/>
              </w:rPr>
            </w:pPr>
            <w:r>
              <w:rPr>
                <w:szCs w:val="20"/>
              </w:rPr>
              <w:t>benennen Merkmale weiterer Textsorten (hier: Rede)</w:t>
            </w:r>
          </w:p>
          <w:p w:rsidR="00EF72B5" w:rsidRDefault="00A81E1B">
            <w:pPr>
              <w:numPr>
                <w:ilvl w:val="0"/>
                <w:numId w:val="2"/>
              </w:numPr>
              <w:spacing w:before="60"/>
              <w:jc w:val="left"/>
              <w:rPr>
                <w:szCs w:val="20"/>
              </w:rPr>
            </w:pPr>
            <w:r>
              <w:rPr>
                <w:szCs w:val="20"/>
              </w:rPr>
              <w:t>setzen den Inhalt des übersetzten Textes gestaltend um (hier: Wechsel der Erzählperspektive)</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Cicero (+)</w:t>
            </w:r>
          </w:p>
          <w:p w:rsidR="00EF72B5" w:rsidRDefault="00A81E1B">
            <w:pPr>
              <w:numPr>
                <w:ilvl w:val="0"/>
                <w:numId w:val="2"/>
              </w:numPr>
              <w:spacing w:before="60"/>
              <w:jc w:val="left"/>
              <w:rPr>
                <w:szCs w:val="20"/>
              </w:rPr>
            </w:pPr>
            <w:r>
              <w:rPr>
                <w:szCs w:val="20"/>
              </w:rPr>
              <w:t xml:space="preserve">vergleichen angeleitet </w:t>
            </w:r>
            <w:r>
              <w:rPr>
                <w:szCs w:val="20"/>
              </w:rPr>
              <w:t>Elemente der römischen Gesellschafts- und Lebensstruktur mit denen ihres eigenen Erfahrungs- und Erlebensbereiches (hier: politisches Handeln)</w:t>
            </w:r>
          </w:p>
          <w:p w:rsidR="00EF72B5" w:rsidRDefault="00A81E1B">
            <w:pPr>
              <w:numPr>
                <w:ilvl w:val="0"/>
                <w:numId w:val="2"/>
              </w:numPr>
              <w:spacing w:before="60"/>
              <w:jc w:val="left"/>
              <w:rPr>
                <w:szCs w:val="20"/>
              </w:rPr>
            </w:pPr>
            <w:r>
              <w:rPr>
                <w:color w:val="008000"/>
                <w:szCs w:val="20"/>
              </w:rPr>
              <w:t>Fachbegriffe:</w:t>
            </w:r>
          </w:p>
          <w:p w:rsidR="00EF72B5" w:rsidRDefault="00A81E1B">
            <w:pPr>
              <w:numPr>
                <w:ilvl w:val="0"/>
                <w:numId w:val="1"/>
              </w:numPr>
              <w:ind w:left="340" w:hanging="170"/>
              <w:jc w:val="left"/>
              <w:rPr>
                <w:i/>
                <w:szCs w:val="20"/>
              </w:rPr>
            </w:pPr>
            <w:r>
              <w:rPr>
                <w:i/>
                <w:szCs w:val="20"/>
              </w:rPr>
              <w:t>homo novus</w:t>
            </w:r>
            <w:r>
              <w:rPr>
                <w:szCs w:val="20"/>
              </w:rPr>
              <w:t xml:space="preserve"> (+, vgl. L.</w:t>
            </w:r>
            <w:r>
              <w:rPr>
                <w:sz w:val="14"/>
                <w:szCs w:val="20"/>
              </w:rPr>
              <w:t xml:space="preserve"> </w:t>
            </w:r>
            <w:r>
              <w:rPr>
                <w:szCs w:val="20"/>
              </w:rPr>
              <w:t>16)</w:t>
            </w:r>
          </w:p>
          <w:p w:rsidR="00EF72B5" w:rsidRDefault="00A81E1B">
            <w:pPr>
              <w:numPr>
                <w:ilvl w:val="0"/>
                <w:numId w:val="1"/>
              </w:numPr>
              <w:ind w:left="340" w:hanging="170"/>
              <w:jc w:val="left"/>
            </w:pPr>
            <w:proofErr w:type="spellStart"/>
            <w:r>
              <w:rPr>
                <w:i/>
                <w:szCs w:val="20"/>
              </w:rPr>
              <w:t>pater</w:t>
            </w:r>
            <w:proofErr w:type="spellEnd"/>
            <w:r>
              <w:rPr>
                <w:i/>
                <w:szCs w:val="20"/>
              </w:rPr>
              <w:t xml:space="preserve"> </w:t>
            </w:r>
            <w:proofErr w:type="spellStart"/>
            <w:r>
              <w:rPr>
                <w:i/>
                <w:szCs w:val="20"/>
              </w:rPr>
              <w:t>patriae</w:t>
            </w:r>
            <w:proofErr w:type="spellEnd"/>
            <w:r>
              <w:rPr>
                <w:szCs w:val="20"/>
              </w:rPr>
              <w:t xml:space="preserve">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CC0066"/>
              </w:rPr>
            </w:pPr>
            <w:r>
              <w:rPr>
                <w:b/>
                <w:color w:val="CC0066"/>
              </w:rPr>
              <w:t>Anmerkungen/Sonstiges</w:t>
            </w:r>
          </w:p>
          <w:p w:rsidR="00EF72B5" w:rsidRDefault="00EF72B5">
            <w:pPr>
              <w:spacing w:before="60"/>
              <w:jc w:val="left"/>
            </w:pPr>
          </w:p>
          <w:p w:rsidR="00EF72B5" w:rsidRDefault="00EF72B5">
            <w:pPr>
              <w:spacing w:before="60"/>
              <w:jc w:val="left"/>
            </w:pPr>
          </w:p>
          <w:p w:rsidR="00EF72B5" w:rsidRDefault="00EF72B5">
            <w:pPr>
              <w:spacing w:before="60"/>
              <w:jc w:val="left"/>
            </w:pPr>
          </w:p>
          <w:p w:rsidR="00EF72B5" w:rsidRDefault="00EF72B5">
            <w:pPr>
              <w:spacing w:before="60"/>
            </w:pPr>
          </w:p>
        </w:tc>
      </w:tr>
    </w:tbl>
    <w:p w:rsidR="00EF72B5" w:rsidRDefault="00EF72B5"/>
    <w:p w:rsidR="00EF72B5" w:rsidRDefault="00A81E1B">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19</w:t>
            </w:r>
            <w:r>
              <w:rPr>
                <w:b/>
                <w:color w:val="3333CC"/>
                <w:szCs w:val="20"/>
              </w:rPr>
              <w:tab/>
              <w:t>Götter und Helden</w:t>
            </w:r>
          </w:p>
          <w:p w:rsidR="00EF72B5" w:rsidRDefault="00A81E1B">
            <w:pPr>
              <w:numPr>
                <w:ilvl w:val="0"/>
                <w:numId w:val="2"/>
              </w:numPr>
              <w:spacing w:before="60"/>
              <w:jc w:val="left"/>
              <w:rPr>
                <w:szCs w:val="20"/>
              </w:rPr>
            </w:pPr>
            <w:r>
              <w:rPr>
                <w:szCs w:val="20"/>
              </w:rPr>
              <w:t>PPA</w:t>
            </w:r>
          </w:p>
          <w:p w:rsidR="00EF72B5" w:rsidRDefault="00A81E1B">
            <w:pPr>
              <w:numPr>
                <w:ilvl w:val="0"/>
                <w:numId w:val="2"/>
              </w:numPr>
              <w:spacing w:before="60"/>
              <w:jc w:val="left"/>
              <w:rPr>
                <w:szCs w:val="20"/>
              </w:rPr>
            </w:pPr>
            <w:r>
              <w:rPr>
                <w:szCs w:val="20"/>
              </w:rPr>
              <w:t>PC</w:t>
            </w:r>
          </w:p>
          <w:p w:rsidR="00EF72B5" w:rsidRDefault="00A81E1B">
            <w:pPr>
              <w:numPr>
                <w:ilvl w:val="0"/>
                <w:numId w:val="2"/>
              </w:numPr>
              <w:spacing w:before="60"/>
              <w:jc w:val="left"/>
              <w:rPr>
                <w:i/>
                <w:szCs w:val="20"/>
              </w:rPr>
            </w:pPr>
            <w:proofErr w:type="spellStart"/>
            <w:r>
              <w:rPr>
                <w:i/>
                <w:szCs w:val="20"/>
              </w:rPr>
              <w:t>dum</w:t>
            </w:r>
            <w:proofErr w:type="spellEnd"/>
          </w:p>
          <w:p w:rsidR="00EF72B5" w:rsidRDefault="00A81E1B">
            <w:pPr>
              <w:numPr>
                <w:ilvl w:val="0"/>
                <w:numId w:val="2"/>
              </w:numPr>
              <w:spacing w:before="60"/>
              <w:jc w:val="left"/>
            </w:pPr>
            <w:proofErr w:type="spellStart"/>
            <w:r>
              <w:rPr>
                <w:i/>
                <w:szCs w:val="20"/>
              </w:rPr>
              <w:t>postquam</w:t>
            </w:r>
            <w:proofErr w:type="spellEnd"/>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23 neue </w:t>
            </w:r>
            <w:proofErr w:type="spellStart"/>
            <w:r>
              <w:rPr>
                <w:szCs w:val="20"/>
              </w:rPr>
              <w:t>Vok</w:t>
            </w:r>
            <w:proofErr w:type="spellEnd"/>
            <w:r>
              <w:rPr>
                <w:szCs w:val="20"/>
              </w:rPr>
              <w:t>. (insges. 520)</w:t>
            </w:r>
          </w:p>
          <w:p w:rsidR="00EF72B5" w:rsidRDefault="00A81E1B">
            <w:pPr>
              <w:numPr>
                <w:ilvl w:val="0"/>
                <w:numId w:val="2"/>
              </w:numPr>
              <w:spacing w:before="60"/>
              <w:jc w:val="left"/>
              <w:rPr>
                <w:szCs w:val="20"/>
              </w:rPr>
            </w:pPr>
            <w:r>
              <w:rPr>
                <w:szCs w:val="20"/>
              </w:rPr>
              <w:t xml:space="preserve">erkennen, dass Wörter über mehr Bedeutungen verfügen als die gelernten, und wählen bei der Übersetzung zunehmend selbstständig kontextbezogen das passende deutsche Wort (hier: </w:t>
            </w:r>
            <w:proofErr w:type="spellStart"/>
            <w:r>
              <w:rPr>
                <w:i/>
                <w:szCs w:val="20"/>
              </w:rPr>
              <w:t>solvere</w:t>
            </w:r>
            <w:proofErr w:type="spellEnd"/>
            <w:r>
              <w:rPr>
                <w:szCs w:val="20"/>
              </w:rPr>
              <w:t>, Ü 6)</w:t>
            </w:r>
          </w:p>
          <w:p w:rsidR="00EF72B5" w:rsidRDefault="00A81E1B">
            <w:pPr>
              <w:numPr>
                <w:ilvl w:val="0"/>
                <w:numId w:val="2"/>
              </w:numPr>
              <w:spacing w:before="60"/>
              <w:jc w:val="left"/>
              <w:rPr>
                <w:szCs w:val="20"/>
              </w:rPr>
            </w:pPr>
            <w:r>
              <w:rPr>
                <w:szCs w:val="20"/>
              </w:rPr>
              <w:t>führen häufig verwendete Fremd- und Lehnwörter auf das lateinische Ursprungswort zurück und beschreiben den Bedeutungswandel (hier: Sirenen)</w:t>
            </w:r>
          </w:p>
          <w:p w:rsidR="00EF72B5" w:rsidRDefault="00A81E1B">
            <w:pPr>
              <w:numPr>
                <w:ilvl w:val="0"/>
                <w:numId w:val="2"/>
              </w:numPr>
              <w:spacing w:before="60"/>
              <w:jc w:val="left"/>
              <w:rPr>
                <w:szCs w:val="20"/>
              </w:rPr>
            </w:pPr>
            <w:r>
              <w:rPr>
                <w:szCs w:val="20"/>
              </w:rPr>
              <w:t>geben die Paradigmen wieder:</w:t>
            </w:r>
          </w:p>
          <w:p w:rsidR="00EF72B5" w:rsidRDefault="00A81E1B">
            <w:pPr>
              <w:numPr>
                <w:ilvl w:val="0"/>
                <w:numId w:val="1"/>
              </w:numPr>
              <w:ind w:left="340" w:hanging="170"/>
              <w:jc w:val="left"/>
              <w:rPr>
                <w:szCs w:val="20"/>
              </w:rPr>
            </w:pPr>
            <w:r>
              <w:rPr>
                <w:szCs w:val="20"/>
              </w:rPr>
              <w:t>des PPA</w:t>
            </w:r>
          </w:p>
          <w:p w:rsidR="00EF72B5" w:rsidRDefault="00A81E1B">
            <w:pPr>
              <w:numPr>
                <w:ilvl w:val="0"/>
                <w:numId w:val="2"/>
              </w:numPr>
              <w:spacing w:before="60"/>
              <w:jc w:val="left"/>
              <w:rPr>
                <w:szCs w:val="20"/>
              </w:rPr>
            </w:pPr>
            <w:r>
              <w:rPr>
                <w:szCs w:val="20"/>
              </w:rPr>
              <w:t>bestimmen und unterscheiden die lateinischen Formen sicher, indem sie insbeson</w:t>
            </w:r>
            <w:r>
              <w:rPr>
                <w:szCs w:val="20"/>
              </w:rPr>
              <w:t>dere auch schwierigere flektierte Formen (hier: PPA) auf ihre Grundform zurückführen</w:t>
            </w:r>
          </w:p>
          <w:p w:rsidR="00EF72B5" w:rsidRDefault="00A81E1B">
            <w:pPr>
              <w:numPr>
                <w:ilvl w:val="0"/>
                <w:numId w:val="2"/>
              </w:numPr>
              <w:spacing w:before="60"/>
              <w:jc w:val="left"/>
              <w:rPr>
                <w:szCs w:val="20"/>
              </w:rPr>
            </w:pPr>
            <w:r>
              <w:rPr>
                <w:szCs w:val="20"/>
              </w:rPr>
              <w:t>unterscheiden bei den Partizipien</w:t>
            </w:r>
            <w:r>
              <w:rPr>
                <w:rFonts w:eastAsiaTheme="majorEastAsia"/>
                <w:szCs w:val="20"/>
              </w:rPr>
              <w:t xml:space="preserve"> </w:t>
            </w:r>
            <w:r>
              <w:rPr>
                <w:szCs w:val="20"/>
              </w:rPr>
              <w:t>die Zeitverhältnisse (hier: Vor-und Gleichzeitigkeit)</w:t>
            </w:r>
          </w:p>
          <w:p w:rsidR="00EF72B5" w:rsidRDefault="00A81E1B">
            <w:pPr>
              <w:numPr>
                <w:ilvl w:val="0"/>
                <w:numId w:val="2"/>
              </w:numPr>
              <w:spacing w:before="60"/>
              <w:jc w:val="left"/>
              <w:rPr>
                <w:szCs w:val="20"/>
              </w:rPr>
            </w:pPr>
            <w:r>
              <w:rPr>
                <w:szCs w:val="20"/>
              </w:rPr>
              <w:t>identifizieren die satzwertige Konstruktion PC, benennen ihre Bestandteile und über</w:t>
            </w:r>
            <w:r>
              <w:rPr>
                <w:szCs w:val="20"/>
              </w:rPr>
              <w:t>setzen sie adäquat</w:t>
            </w:r>
          </w:p>
          <w:p w:rsidR="00EF72B5" w:rsidRDefault="00A81E1B">
            <w:pPr>
              <w:numPr>
                <w:ilvl w:val="0"/>
                <w:numId w:val="2"/>
              </w:numPr>
              <w:spacing w:before="60"/>
              <w:jc w:val="left"/>
              <w:rPr>
                <w:szCs w:val="20"/>
              </w:rPr>
            </w:pPr>
            <w:r>
              <w:rPr>
                <w:szCs w:val="20"/>
              </w:rPr>
              <w:t>vergleichen die Funktionen der Tempora im Lateinischen und Deutschen und benennen Unterschiede zum Deutschen (Ü 5)</w:t>
            </w:r>
          </w:p>
          <w:p w:rsidR="00EF72B5" w:rsidRDefault="00A81E1B">
            <w:pPr>
              <w:numPr>
                <w:ilvl w:val="0"/>
                <w:numId w:val="2"/>
              </w:numPr>
              <w:spacing w:before="60"/>
              <w:jc w:val="left"/>
            </w:pPr>
            <w:r>
              <w:rPr>
                <w:szCs w:val="20"/>
              </w:rPr>
              <w:t>vergleichen satzwertige Konstruktionen (hier: PC) im Lateinischen mit Wiedergabemöglichkeiten im Deutschen</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rPr>
                <w:szCs w:val="20"/>
              </w:rPr>
            </w:pPr>
            <w:r>
              <w:rPr>
                <w:szCs w:val="20"/>
              </w:rPr>
              <w:t>benennen und belegen nach dem Hören und/oder Lesen eines Textes wesentliche Merkmale (hier: zentrale Begriffe) und stellen Bezüge her</w:t>
            </w:r>
          </w:p>
          <w:p w:rsidR="00EF72B5" w:rsidRDefault="00A81E1B">
            <w:pPr>
              <w:numPr>
                <w:ilvl w:val="0"/>
                <w:numId w:val="2"/>
              </w:numPr>
              <w:spacing w:before="60"/>
              <w:jc w:val="left"/>
              <w:rPr>
                <w:szCs w:val="20"/>
              </w:rPr>
            </w:pPr>
            <w:r>
              <w:rPr>
                <w:szCs w:val="20"/>
              </w:rPr>
              <w:t>wägen verschiedene Übersetzungsmöglichkeiten komplexer Strukturen ab und entscheiden begründet (hier: Partizipialkonstruk</w:t>
            </w:r>
            <w:r>
              <w:rPr>
                <w:szCs w:val="20"/>
              </w:rPr>
              <w:t>tionen)</w:t>
            </w:r>
          </w:p>
          <w:p w:rsidR="00EF72B5" w:rsidRDefault="00A81E1B">
            <w:pPr>
              <w:numPr>
                <w:ilvl w:val="0"/>
                <w:numId w:val="2"/>
              </w:numPr>
              <w:spacing w:before="60"/>
              <w:jc w:val="left"/>
            </w:pPr>
            <w:r>
              <w:rPr>
                <w:szCs w:val="20"/>
              </w:rPr>
              <w:t>wägen verschiedene Formen gedanklicher Verknüpfungen ab und entscheiden begründet (hier: temporal, kausal, konzessiv, modal)</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einzelne Mythen: Odysseus</w:t>
            </w:r>
          </w:p>
          <w:p w:rsidR="00EF72B5" w:rsidRDefault="00A81E1B">
            <w:pPr>
              <w:numPr>
                <w:ilvl w:val="0"/>
                <w:numId w:val="2"/>
              </w:numPr>
              <w:spacing w:before="60"/>
              <w:jc w:val="left"/>
              <w:rPr>
                <w:szCs w:val="20"/>
              </w:rPr>
            </w:pPr>
            <w:r>
              <w:rPr>
                <w:szCs w:val="20"/>
              </w:rPr>
              <w:t>unterscheiden griechische Kunst und Architektur grundsätzlich von römischer (hi</w:t>
            </w:r>
            <w:r>
              <w:rPr>
                <w:szCs w:val="20"/>
              </w:rPr>
              <w:t xml:space="preserve">er: Tempel, </w:t>
            </w:r>
            <w:r>
              <w:t>S.</w:t>
            </w:r>
            <w:r>
              <w:rPr>
                <w:sz w:val="14"/>
              </w:rPr>
              <w:t> </w:t>
            </w:r>
            <w:r>
              <w:rPr>
                <w:szCs w:val="20"/>
              </w:rPr>
              <w:t>46</w:t>
            </w:r>
            <w:r>
              <w:rPr>
                <w:sz w:val="14"/>
                <w:szCs w:val="20"/>
              </w:rPr>
              <w:t> </w:t>
            </w:r>
            <w:r>
              <w:rPr>
                <w:szCs w:val="20"/>
              </w:rPr>
              <w:t>f.)</w:t>
            </w:r>
          </w:p>
          <w:p w:rsidR="00EF72B5" w:rsidRDefault="00A81E1B">
            <w:pPr>
              <w:numPr>
                <w:ilvl w:val="0"/>
                <w:numId w:val="2"/>
              </w:numPr>
              <w:spacing w:before="60"/>
              <w:jc w:val="left"/>
              <w:rPr>
                <w:szCs w:val="20"/>
              </w:rPr>
            </w:pPr>
            <w:r>
              <w:rPr>
                <w:color w:val="008000"/>
                <w:szCs w:val="20"/>
              </w:rPr>
              <w:t>Fachbegriffe und Namen:</w:t>
            </w:r>
          </w:p>
          <w:p w:rsidR="00EF72B5" w:rsidRDefault="00A81E1B">
            <w:pPr>
              <w:numPr>
                <w:ilvl w:val="0"/>
                <w:numId w:val="1"/>
              </w:numPr>
              <w:ind w:left="340" w:hanging="170"/>
              <w:jc w:val="left"/>
              <w:rPr>
                <w:i/>
                <w:szCs w:val="20"/>
              </w:rPr>
            </w:pPr>
            <w:r>
              <w:rPr>
                <w:szCs w:val="20"/>
              </w:rPr>
              <w:t>Mythos (+)</w:t>
            </w:r>
          </w:p>
          <w:p w:rsidR="00EF72B5" w:rsidRDefault="00A81E1B">
            <w:pPr>
              <w:numPr>
                <w:ilvl w:val="0"/>
                <w:numId w:val="1"/>
              </w:numPr>
              <w:ind w:left="340" w:hanging="170"/>
              <w:jc w:val="left"/>
              <w:rPr>
                <w:i/>
                <w:szCs w:val="20"/>
              </w:rPr>
            </w:pPr>
            <w:r>
              <w:rPr>
                <w:szCs w:val="20"/>
              </w:rPr>
              <w:t>Heroen (+)</w:t>
            </w:r>
          </w:p>
          <w:p w:rsidR="00EF72B5" w:rsidRDefault="00A81E1B">
            <w:pPr>
              <w:numPr>
                <w:ilvl w:val="0"/>
                <w:numId w:val="1"/>
              </w:numPr>
              <w:ind w:left="340" w:hanging="170"/>
              <w:jc w:val="left"/>
              <w:rPr>
                <w:i/>
                <w:szCs w:val="20"/>
              </w:rPr>
            </w:pPr>
            <w:r>
              <w:rPr>
                <w:szCs w:val="20"/>
              </w:rPr>
              <w:t>Achilles (+)</w:t>
            </w:r>
          </w:p>
          <w:p w:rsidR="00EF72B5" w:rsidRDefault="00A81E1B">
            <w:pPr>
              <w:numPr>
                <w:ilvl w:val="0"/>
                <w:numId w:val="1"/>
              </w:numPr>
              <w:ind w:left="340" w:hanging="170"/>
              <w:jc w:val="left"/>
            </w:pPr>
            <w:r>
              <w:rPr>
                <w:szCs w:val="20"/>
              </w:rPr>
              <w:t>Herakles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CC0066"/>
              </w:rPr>
            </w:pPr>
            <w:r>
              <w:rPr>
                <w:b/>
                <w:color w:val="CC0066"/>
              </w:rPr>
              <w:t>Anmerkungen/Sonstiges</w:t>
            </w:r>
          </w:p>
          <w:p w:rsidR="00EF72B5" w:rsidRDefault="00EF72B5">
            <w:pPr>
              <w:spacing w:before="60"/>
              <w:jc w:val="left"/>
            </w:pPr>
          </w:p>
          <w:p w:rsidR="00EF72B5" w:rsidRDefault="00EF72B5">
            <w:pPr>
              <w:spacing w:before="60"/>
              <w:jc w:val="left"/>
            </w:pPr>
          </w:p>
          <w:p w:rsidR="00EF72B5" w:rsidRDefault="00EF72B5">
            <w:pPr>
              <w:spacing w:before="60"/>
              <w:jc w:val="left"/>
            </w:pPr>
          </w:p>
          <w:p w:rsidR="00EF72B5" w:rsidRDefault="00EF72B5">
            <w:pPr>
              <w:spacing w:before="60"/>
            </w:pPr>
          </w:p>
        </w:tc>
      </w:tr>
    </w:tbl>
    <w:p w:rsidR="00EF72B5" w:rsidRDefault="00EF72B5"/>
    <w:p w:rsidR="00EF72B5" w:rsidRDefault="00A81E1B">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20</w:t>
            </w:r>
            <w:r>
              <w:rPr>
                <w:b/>
                <w:color w:val="3333CC"/>
                <w:szCs w:val="20"/>
              </w:rPr>
              <w:tab/>
              <w:t>Orpheus und Eurydike</w:t>
            </w:r>
          </w:p>
          <w:p w:rsidR="00EF72B5" w:rsidRDefault="00A81E1B">
            <w:pPr>
              <w:numPr>
                <w:ilvl w:val="0"/>
                <w:numId w:val="2"/>
              </w:numPr>
              <w:spacing w:before="60"/>
              <w:jc w:val="left"/>
              <w:rPr>
                <w:szCs w:val="20"/>
              </w:rPr>
            </w:pPr>
            <w:r>
              <w:rPr>
                <w:szCs w:val="20"/>
              </w:rPr>
              <w:t>e-</w:t>
            </w:r>
            <w:proofErr w:type="spellStart"/>
            <w:r>
              <w:rPr>
                <w:szCs w:val="20"/>
              </w:rPr>
              <w:t>Dekl</w:t>
            </w:r>
            <w:proofErr w:type="spellEnd"/>
            <w:r>
              <w:rPr>
                <w:szCs w:val="20"/>
              </w:rPr>
              <w:t>.</w:t>
            </w:r>
          </w:p>
          <w:p w:rsidR="00EF72B5" w:rsidRDefault="00A81E1B">
            <w:pPr>
              <w:numPr>
                <w:ilvl w:val="0"/>
                <w:numId w:val="2"/>
              </w:numPr>
              <w:spacing w:before="60"/>
              <w:jc w:val="left"/>
              <w:rPr>
                <w:i/>
                <w:szCs w:val="20"/>
              </w:rPr>
            </w:pPr>
            <w:proofErr w:type="spellStart"/>
            <w:r>
              <w:rPr>
                <w:i/>
                <w:szCs w:val="20"/>
              </w:rPr>
              <w:t>is</w:t>
            </w:r>
            <w:proofErr w:type="spellEnd"/>
          </w:p>
          <w:p w:rsidR="00EF72B5" w:rsidRDefault="00A81E1B">
            <w:pPr>
              <w:numPr>
                <w:ilvl w:val="0"/>
                <w:numId w:val="2"/>
              </w:numPr>
              <w:spacing w:before="60"/>
              <w:jc w:val="left"/>
            </w:pPr>
            <w:r>
              <w:rPr>
                <w:szCs w:val="20"/>
              </w:rPr>
              <w:t>Akk. der Ausdehnung</w:t>
            </w:r>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29 neue </w:t>
            </w:r>
            <w:proofErr w:type="spellStart"/>
            <w:r>
              <w:rPr>
                <w:szCs w:val="20"/>
              </w:rPr>
              <w:t>Vok</w:t>
            </w:r>
            <w:proofErr w:type="spellEnd"/>
            <w:r>
              <w:rPr>
                <w:szCs w:val="20"/>
              </w:rPr>
              <w:t>. (insges. 549)</w:t>
            </w:r>
          </w:p>
          <w:p w:rsidR="00EF72B5" w:rsidRDefault="00A81E1B">
            <w:pPr>
              <w:numPr>
                <w:ilvl w:val="0"/>
                <w:numId w:val="2"/>
              </w:numPr>
              <w:spacing w:before="60"/>
              <w:jc w:val="left"/>
              <w:rPr>
                <w:szCs w:val="20"/>
              </w:rPr>
            </w:pPr>
            <w:r>
              <w:rPr>
                <w:szCs w:val="20"/>
              </w:rPr>
              <w:t xml:space="preserve">beschreiben das Konzept von Kernbegriffen, die in der Welt der Römer verankert sind (hier: </w:t>
            </w:r>
            <w:proofErr w:type="spellStart"/>
            <w:r>
              <w:rPr>
                <w:i/>
                <w:szCs w:val="20"/>
              </w:rPr>
              <w:t>fides</w:t>
            </w:r>
            <w:proofErr w:type="spellEnd"/>
            <w:r>
              <w:rPr>
                <w:szCs w:val="20"/>
              </w:rPr>
              <w:t>), und wählen bei der Übersetzung zunehmend selbstständig kontextbezogen entsprechende deutsche Begriffe</w:t>
            </w:r>
          </w:p>
          <w:p w:rsidR="00EF72B5" w:rsidRDefault="00A81E1B">
            <w:pPr>
              <w:numPr>
                <w:ilvl w:val="0"/>
                <w:numId w:val="2"/>
              </w:numPr>
              <w:spacing w:before="60"/>
              <w:jc w:val="left"/>
              <w:rPr>
                <w:szCs w:val="20"/>
              </w:rPr>
            </w:pPr>
            <w:r>
              <w:rPr>
                <w:szCs w:val="20"/>
              </w:rPr>
              <w:t xml:space="preserve">unterscheiden Pronomina (hier: </w:t>
            </w:r>
            <w:proofErr w:type="spellStart"/>
            <w:r>
              <w:rPr>
                <w:i/>
                <w:szCs w:val="20"/>
              </w:rPr>
              <w:t>is</w:t>
            </w:r>
            <w:proofErr w:type="spellEnd"/>
            <w:r>
              <w:rPr>
                <w:szCs w:val="20"/>
              </w:rPr>
              <w:t>)</w:t>
            </w:r>
          </w:p>
          <w:p w:rsidR="00EF72B5" w:rsidRDefault="00A81E1B">
            <w:pPr>
              <w:numPr>
                <w:ilvl w:val="0"/>
                <w:numId w:val="2"/>
              </w:numPr>
              <w:spacing w:before="60"/>
              <w:jc w:val="left"/>
              <w:rPr>
                <w:szCs w:val="20"/>
              </w:rPr>
            </w:pPr>
            <w:r>
              <w:rPr>
                <w:szCs w:val="20"/>
              </w:rPr>
              <w:t>geben die Paradigmen</w:t>
            </w:r>
            <w:r>
              <w:rPr>
                <w:szCs w:val="20"/>
              </w:rPr>
              <w:t xml:space="preserve"> wieder:</w:t>
            </w:r>
          </w:p>
          <w:p w:rsidR="00EF72B5" w:rsidRDefault="00A81E1B">
            <w:pPr>
              <w:numPr>
                <w:ilvl w:val="0"/>
                <w:numId w:val="1"/>
              </w:numPr>
              <w:ind w:left="340" w:hanging="170"/>
              <w:jc w:val="left"/>
              <w:rPr>
                <w:szCs w:val="20"/>
              </w:rPr>
            </w:pPr>
            <w:r>
              <w:rPr>
                <w:szCs w:val="20"/>
              </w:rPr>
              <w:t xml:space="preserve">der Substantive der 5. </w:t>
            </w:r>
            <w:proofErr w:type="spellStart"/>
            <w:r>
              <w:rPr>
                <w:szCs w:val="20"/>
              </w:rPr>
              <w:t>Dekl</w:t>
            </w:r>
            <w:proofErr w:type="spellEnd"/>
            <w:r>
              <w:rPr>
                <w:szCs w:val="20"/>
              </w:rPr>
              <w:t>.</w:t>
            </w:r>
          </w:p>
          <w:p w:rsidR="00EF72B5" w:rsidRDefault="00A81E1B">
            <w:pPr>
              <w:numPr>
                <w:ilvl w:val="0"/>
                <w:numId w:val="1"/>
              </w:numPr>
              <w:ind w:left="340" w:hanging="170"/>
              <w:jc w:val="left"/>
              <w:rPr>
                <w:szCs w:val="20"/>
              </w:rPr>
            </w:pPr>
            <w:r>
              <w:rPr>
                <w:szCs w:val="20"/>
              </w:rPr>
              <w:t xml:space="preserve">des Demonstrativ- und Personalpronomens </w:t>
            </w:r>
            <w:proofErr w:type="spellStart"/>
            <w:r>
              <w:rPr>
                <w:i/>
                <w:szCs w:val="20"/>
              </w:rPr>
              <w:t>is</w:t>
            </w:r>
            <w:proofErr w:type="spellEnd"/>
          </w:p>
          <w:p w:rsidR="00EF72B5" w:rsidRDefault="00A81E1B">
            <w:pPr>
              <w:numPr>
                <w:ilvl w:val="0"/>
                <w:numId w:val="2"/>
              </w:numPr>
              <w:spacing w:before="60"/>
              <w:jc w:val="left"/>
              <w:rPr>
                <w:szCs w:val="20"/>
              </w:rPr>
            </w:pPr>
            <w:r>
              <w:rPr>
                <w:szCs w:val="20"/>
              </w:rPr>
              <w:t>bestimmen und unterscheiden die lateinischen Formen sicher, indem sie insbesondere auch schwierigere flektierte Formen (hier: Pronomina) auf ihre Grundform zurückführen</w:t>
            </w:r>
          </w:p>
          <w:p w:rsidR="00EF72B5" w:rsidRDefault="00A81E1B">
            <w:pPr>
              <w:numPr>
                <w:ilvl w:val="0"/>
                <w:numId w:val="2"/>
              </w:numPr>
              <w:spacing w:before="60"/>
              <w:jc w:val="left"/>
              <w:rPr>
                <w:szCs w:val="20"/>
              </w:rPr>
            </w:pPr>
            <w:r>
              <w:rPr>
                <w:szCs w:val="20"/>
              </w:rPr>
              <w:t>identi</w:t>
            </w:r>
            <w:r>
              <w:rPr>
                <w:szCs w:val="20"/>
              </w:rPr>
              <w:t>fizieren und benennen als Füllungsmöglichkeiten des Satzglieds AB:</w:t>
            </w:r>
          </w:p>
          <w:p w:rsidR="00EF72B5" w:rsidRDefault="00A81E1B">
            <w:pPr>
              <w:numPr>
                <w:ilvl w:val="0"/>
                <w:numId w:val="1"/>
              </w:numPr>
              <w:ind w:left="340" w:hanging="170"/>
              <w:jc w:val="left"/>
            </w:pPr>
            <w:r>
              <w:rPr>
                <w:szCs w:val="20"/>
              </w:rPr>
              <w:t>Akk. der Ausdehnung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pPr>
            <w:r>
              <w:rPr>
                <w:szCs w:val="20"/>
              </w:rPr>
              <w:t xml:space="preserve">prüfen die Übersetzbarkeit lateinischer Strukturen und Wendungen (hier: Partizipialkonstruktionen wie </w:t>
            </w:r>
            <w:proofErr w:type="spellStart"/>
            <w:r>
              <w:rPr>
                <w:i/>
                <w:szCs w:val="20"/>
              </w:rPr>
              <w:t>ira</w:t>
            </w:r>
            <w:proofErr w:type="spellEnd"/>
            <w:r>
              <w:rPr>
                <w:i/>
                <w:szCs w:val="20"/>
              </w:rPr>
              <w:t xml:space="preserve"> </w:t>
            </w:r>
            <w:proofErr w:type="spellStart"/>
            <w:r>
              <w:rPr>
                <w:i/>
                <w:szCs w:val="20"/>
              </w:rPr>
              <w:t>commotus</w:t>
            </w:r>
            <w:proofErr w:type="spellEnd"/>
            <w:r>
              <w:rPr>
                <w:szCs w:val="20"/>
              </w:rPr>
              <w:t>, Ü 5)</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 xml:space="preserve">einzelne </w:t>
            </w:r>
            <w:r>
              <w:rPr>
                <w:szCs w:val="20"/>
              </w:rPr>
              <w:t>Mythen: Orpheus und Eurydike (+)</w:t>
            </w:r>
          </w:p>
          <w:p w:rsidR="00EF72B5" w:rsidRDefault="00A81E1B">
            <w:pPr>
              <w:numPr>
                <w:ilvl w:val="0"/>
                <w:numId w:val="2"/>
              </w:numPr>
              <w:spacing w:before="60"/>
              <w:jc w:val="left"/>
              <w:rPr>
                <w:szCs w:val="20"/>
              </w:rPr>
            </w:pPr>
            <w:r>
              <w:rPr>
                <w:szCs w:val="20"/>
              </w:rPr>
              <w:t>einzelne römische und griechische Götter: Pluto und Proserpina; Unterweltsvorstellung (+)</w:t>
            </w:r>
          </w:p>
          <w:p w:rsidR="00EF72B5" w:rsidRDefault="00A81E1B">
            <w:pPr>
              <w:numPr>
                <w:ilvl w:val="0"/>
                <w:numId w:val="2"/>
              </w:numPr>
              <w:spacing w:before="60"/>
              <w:jc w:val="left"/>
              <w:rPr>
                <w:szCs w:val="20"/>
              </w:rPr>
            </w:pPr>
            <w:r>
              <w:rPr>
                <w:szCs w:val="20"/>
              </w:rPr>
              <w:t>Rezeption des griechischen Mythos in Rom (+)</w:t>
            </w:r>
          </w:p>
          <w:p w:rsidR="00EF72B5" w:rsidRDefault="00A81E1B">
            <w:pPr>
              <w:numPr>
                <w:ilvl w:val="0"/>
                <w:numId w:val="2"/>
              </w:numPr>
              <w:spacing w:before="60"/>
              <w:jc w:val="left"/>
              <w:rPr>
                <w:szCs w:val="20"/>
              </w:rPr>
            </w:pPr>
            <w:r>
              <w:rPr>
                <w:color w:val="008000"/>
                <w:szCs w:val="20"/>
              </w:rPr>
              <w:t>Kern- und Fachbegriffe, Namen:</w:t>
            </w:r>
          </w:p>
          <w:p w:rsidR="00EF72B5" w:rsidRDefault="00A81E1B">
            <w:pPr>
              <w:numPr>
                <w:ilvl w:val="0"/>
                <w:numId w:val="1"/>
              </w:numPr>
              <w:ind w:left="340" w:hanging="170"/>
              <w:jc w:val="left"/>
              <w:rPr>
                <w:i/>
                <w:szCs w:val="20"/>
              </w:rPr>
            </w:pPr>
            <w:proofErr w:type="spellStart"/>
            <w:r>
              <w:rPr>
                <w:i/>
                <w:szCs w:val="20"/>
              </w:rPr>
              <w:t>fides</w:t>
            </w:r>
            <w:proofErr w:type="spellEnd"/>
          </w:p>
          <w:p w:rsidR="00EF72B5" w:rsidRDefault="00A81E1B">
            <w:pPr>
              <w:numPr>
                <w:ilvl w:val="0"/>
                <w:numId w:val="1"/>
              </w:numPr>
              <w:ind w:left="340" w:hanging="170"/>
              <w:jc w:val="left"/>
              <w:rPr>
                <w:szCs w:val="20"/>
              </w:rPr>
            </w:pPr>
            <w:r>
              <w:rPr>
                <w:szCs w:val="20"/>
              </w:rPr>
              <w:t>Pluto (+)</w:t>
            </w:r>
          </w:p>
          <w:p w:rsidR="00EF72B5" w:rsidRDefault="00A81E1B">
            <w:pPr>
              <w:numPr>
                <w:ilvl w:val="0"/>
                <w:numId w:val="1"/>
              </w:numPr>
              <w:ind w:left="340" w:hanging="170"/>
              <w:jc w:val="left"/>
              <w:rPr>
                <w:szCs w:val="20"/>
              </w:rPr>
            </w:pPr>
            <w:r>
              <w:rPr>
                <w:szCs w:val="20"/>
              </w:rPr>
              <w:t>Proserpina (+)</w:t>
            </w:r>
          </w:p>
          <w:p w:rsidR="00EF72B5" w:rsidRDefault="00A81E1B">
            <w:pPr>
              <w:numPr>
                <w:ilvl w:val="0"/>
                <w:numId w:val="1"/>
              </w:numPr>
              <w:ind w:left="340" w:hanging="170"/>
              <w:jc w:val="left"/>
              <w:rPr>
                <w:szCs w:val="20"/>
              </w:rPr>
            </w:pPr>
            <w:r>
              <w:rPr>
                <w:szCs w:val="20"/>
              </w:rPr>
              <w:t>Orpheus (+)</w:t>
            </w:r>
          </w:p>
          <w:p w:rsidR="00EF72B5" w:rsidRDefault="00A81E1B">
            <w:pPr>
              <w:numPr>
                <w:ilvl w:val="0"/>
                <w:numId w:val="1"/>
              </w:numPr>
              <w:ind w:left="340" w:hanging="170"/>
              <w:jc w:val="left"/>
              <w:rPr>
                <w:szCs w:val="20"/>
              </w:rPr>
            </w:pPr>
            <w:r>
              <w:rPr>
                <w:szCs w:val="20"/>
              </w:rPr>
              <w:t>Eurydike (+)</w:t>
            </w:r>
          </w:p>
          <w:p w:rsidR="00EF72B5" w:rsidRDefault="00A81E1B">
            <w:pPr>
              <w:numPr>
                <w:ilvl w:val="0"/>
                <w:numId w:val="1"/>
              </w:numPr>
              <w:ind w:left="340" w:hanging="170"/>
              <w:jc w:val="left"/>
              <w:rPr>
                <w:szCs w:val="20"/>
              </w:rPr>
            </w:pPr>
            <w:r>
              <w:rPr>
                <w:szCs w:val="20"/>
              </w:rPr>
              <w:t>Ariadne (+)</w:t>
            </w:r>
          </w:p>
          <w:p w:rsidR="00EF72B5" w:rsidRDefault="00A81E1B">
            <w:pPr>
              <w:numPr>
                <w:ilvl w:val="0"/>
                <w:numId w:val="1"/>
              </w:numPr>
              <w:ind w:left="340" w:hanging="170"/>
              <w:jc w:val="left"/>
              <w:rPr>
                <w:szCs w:val="20"/>
              </w:rPr>
            </w:pPr>
            <w:proofErr w:type="spellStart"/>
            <w:r>
              <w:rPr>
                <w:szCs w:val="20"/>
              </w:rPr>
              <w:t>Theseus</w:t>
            </w:r>
            <w:proofErr w:type="spellEnd"/>
            <w:r>
              <w:rPr>
                <w:szCs w:val="20"/>
              </w:rPr>
              <w:t xml:space="preserve"> (+)</w:t>
            </w:r>
          </w:p>
          <w:p w:rsidR="00EF72B5" w:rsidRDefault="00A81E1B">
            <w:pPr>
              <w:numPr>
                <w:ilvl w:val="0"/>
                <w:numId w:val="1"/>
              </w:numPr>
              <w:ind w:left="340" w:hanging="170"/>
              <w:jc w:val="left"/>
              <w:rPr>
                <w:szCs w:val="20"/>
              </w:rPr>
            </w:pPr>
            <w:r>
              <w:rPr>
                <w:szCs w:val="20"/>
              </w:rPr>
              <w:t>Minotaurus (+)</w:t>
            </w:r>
          </w:p>
          <w:p w:rsidR="00EF72B5" w:rsidRDefault="00A81E1B">
            <w:pPr>
              <w:numPr>
                <w:ilvl w:val="0"/>
                <w:numId w:val="1"/>
              </w:numPr>
              <w:ind w:left="340" w:hanging="170"/>
              <w:jc w:val="left"/>
              <w:rPr>
                <w:szCs w:val="20"/>
              </w:rPr>
            </w:pPr>
            <w:r>
              <w:rPr>
                <w:szCs w:val="20"/>
              </w:rPr>
              <w:t>Ovid (+)</w:t>
            </w:r>
          </w:p>
          <w:p w:rsidR="00EF72B5" w:rsidRDefault="00A81E1B">
            <w:pPr>
              <w:numPr>
                <w:ilvl w:val="0"/>
                <w:numId w:val="1"/>
              </w:numPr>
              <w:ind w:left="340" w:hanging="170"/>
              <w:jc w:val="left"/>
            </w:pPr>
            <w:proofErr w:type="spellStart"/>
            <w:r>
              <w:rPr>
                <w:szCs w:val="20"/>
              </w:rPr>
              <w:t>Catull</w:t>
            </w:r>
            <w:proofErr w:type="spellEnd"/>
            <w:r>
              <w:rPr>
                <w:szCs w:val="20"/>
              </w:rPr>
              <w:t xml:space="preserve">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CC0066"/>
              </w:rPr>
            </w:pPr>
            <w:r>
              <w:rPr>
                <w:b/>
                <w:color w:val="CC0066"/>
              </w:rPr>
              <w:t>Anmerkungen/Sonstiges</w:t>
            </w:r>
          </w:p>
          <w:p w:rsidR="00EF72B5" w:rsidRDefault="00EF72B5">
            <w:pPr>
              <w:spacing w:before="60"/>
              <w:jc w:val="left"/>
            </w:pPr>
          </w:p>
          <w:p w:rsidR="00EF72B5" w:rsidRDefault="00EF72B5">
            <w:pPr>
              <w:spacing w:before="60"/>
              <w:jc w:val="left"/>
            </w:pPr>
          </w:p>
          <w:p w:rsidR="00EF72B5" w:rsidRDefault="00EF72B5">
            <w:pPr>
              <w:spacing w:before="60"/>
              <w:jc w:val="left"/>
            </w:pPr>
          </w:p>
          <w:p w:rsidR="00EF72B5" w:rsidRDefault="00EF72B5">
            <w:pPr>
              <w:spacing w:before="60"/>
            </w:pPr>
          </w:p>
        </w:tc>
      </w:tr>
    </w:tbl>
    <w:p w:rsidR="00EF72B5" w:rsidRDefault="00EF72B5"/>
    <w:p w:rsidR="00EF72B5" w:rsidRDefault="00A81E1B">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21</w:t>
            </w:r>
            <w:r>
              <w:rPr>
                <w:b/>
                <w:color w:val="3333CC"/>
                <w:szCs w:val="20"/>
              </w:rPr>
              <w:tab/>
              <w:t>Der Mythos als Begleiter</w:t>
            </w:r>
          </w:p>
          <w:p w:rsidR="00EF72B5" w:rsidRDefault="00A81E1B">
            <w:pPr>
              <w:numPr>
                <w:ilvl w:val="0"/>
                <w:numId w:val="2"/>
              </w:numPr>
              <w:spacing w:before="60"/>
              <w:jc w:val="left"/>
            </w:pPr>
            <w:r>
              <w:rPr>
                <w:szCs w:val="20"/>
              </w:rPr>
              <w:t>Abl. abs.</w:t>
            </w:r>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22 neue </w:t>
            </w:r>
            <w:proofErr w:type="spellStart"/>
            <w:r>
              <w:rPr>
                <w:szCs w:val="20"/>
              </w:rPr>
              <w:t>Vok</w:t>
            </w:r>
            <w:proofErr w:type="spellEnd"/>
            <w:r>
              <w:rPr>
                <w:szCs w:val="20"/>
              </w:rPr>
              <w:t>. (insges. 574)</w:t>
            </w:r>
          </w:p>
          <w:p w:rsidR="00EF72B5" w:rsidRDefault="00A81E1B">
            <w:pPr>
              <w:numPr>
                <w:ilvl w:val="0"/>
                <w:numId w:val="2"/>
              </w:numPr>
              <w:spacing w:before="60"/>
              <w:jc w:val="left"/>
              <w:rPr>
                <w:szCs w:val="20"/>
              </w:rPr>
            </w:pPr>
            <w:r>
              <w:rPr>
                <w:szCs w:val="20"/>
              </w:rPr>
              <w:t xml:space="preserve">zerlegen Komposita in ihre Bausteine Simplex und Präfix (hier: </w:t>
            </w:r>
            <w:proofErr w:type="spellStart"/>
            <w:r>
              <w:rPr>
                <w:i/>
                <w:szCs w:val="20"/>
              </w:rPr>
              <w:t>ire</w:t>
            </w:r>
            <w:proofErr w:type="spellEnd"/>
            <w:r>
              <w:rPr>
                <w:szCs w:val="20"/>
              </w:rPr>
              <w:t xml:space="preserve"> und seine Komposita)</w:t>
            </w:r>
          </w:p>
          <w:p w:rsidR="00EF72B5" w:rsidRDefault="00A81E1B">
            <w:pPr>
              <w:numPr>
                <w:ilvl w:val="0"/>
                <w:numId w:val="2"/>
              </w:numPr>
              <w:spacing w:before="60"/>
              <w:jc w:val="left"/>
              <w:rPr>
                <w:szCs w:val="20"/>
              </w:rPr>
            </w:pPr>
            <w:r>
              <w:rPr>
                <w:szCs w:val="20"/>
              </w:rPr>
              <w:t xml:space="preserve">beschreiben das Konzept von Kernbegriffen, die in der Welt der Römer verankert sind (hier: </w:t>
            </w:r>
            <w:proofErr w:type="spellStart"/>
            <w:r>
              <w:rPr>
                <w:i/>
                <w:szCs w:val="20"/>
              </w:rPr>
              <w:t>fides</w:t>
            </w:r>
            <w:proofErr w:type="spellEnd"/>
            <w:r>
              <w:rPr>
                <w:szCs w:val="20"/>
              </w:rPr>
              <w:t>), und wählen bei der Übersetzung zunehmend selbstständig kontextbezogen entsprechende deutsche Begriffe</w:t>
            </w:r>
          </w:p>
          <w:p w:rsidR="00EF72B5" w:rsidRDefault="00A81E1B">
            <w:pPr>
              <w:numPr>
                <w:ilvl w:val="0"/>
                <w:numId w:val="2"/>
              </w:numPr>
              <w:spacing w:before="60"/>
              <w:jc w:val="left"/>
              <w:rPr>
                <w:szCs w:val="20"/>
              </w:rPr>
            </w:pPr>
            <w:r>
              <w:rPr>
                <w:szCs w:val="20"/>
              </w:rPr>
              <w:t>identifizieren die satzwertige Ko</w:t>
            </w:r>
            <w:r>
              <w:rPr>
                <w:szCs w:val="20"/>
              </w:rPr>
              <w:t xml:space="preserve">nstruktion </w:t>
            </w:r>
            <w:proofErr w:type="spellStart"/>
            <w:r>
              <w:rPr>
                <w:szCs w:val="20"/>
              </w:rPr>
              <w:t>AmP</w:t>
            </w:r>
            <w:proofErr w:type="spellEnd"/>
            <w:r>
              <w:rPr>
                <w:szCs w:val="20"/>
              </w:rPr>
              <w:t>/Abl. abs., benennen ihre Bestandteile und übersetzen sie adäquat</w:t>
            </w:r>
          </w:p>
          <w:p w:rsidR="00EF72B5" w:rsidRDefault="00A81E1B">
            <w:pPr>
              <w:numPr>
                <w:ilvl w:val="0"/>
                <w:numId w:val="2"/>
              </w:numPr>
              <w:spacing w:before="60"/>
              <w:jc w:val="left"/>
              <w:rPr>
                <w:szCs w:val="20"/>
              </w:rPr>
            </w:pPr>
            <w:r>
              <w:rPr>
                <w:szCs w:val="20"/>
              </w:rPr>
              <w:t>identifizieren und benennen als Füllungsmöglichkeiten des Satzglieds AB:</w:t>
            </w:r>
          </w:p>
          <w:p w:rsidR="00EF72B5" w:rsidRDefault="00A81E1B">
            <w:pPr>
              <w:numPr>
                <w:ilvl w:val="0"/>
                <w:numId w:val="1"/>
              </w:numPr>
              <w:ind w:left="340" w:hanging="170"/>
              <w:jc w:val="left"/>
            </w:pPr>
            <w:r>
              <w:rPr>
                <w:szCs w:val="20"/>
              </w:rPr>
              <w:t>Abl. abs.</w:t>
            </w:r>
          </w:p>
          <w:p w:rsidR="00EF72B5" w:rsidRDefault="00A81E1B">
            <w:pPr>
              <w:numPr>
                <w:ilvl w:val="0"/>
                <w:numId w:val="2"/>
              </w:numPr>
              <w:spacing w:before="60"/>
              <w:jc w:val="left"/>
            </w:pPr>
            <w:r>
              <w:rPr>
                <w:szCs w:val="20"/>
              </w:rPr>
              <w:t xml:space="preserve">vergleichen satzwertige Konstruktionen (hier: Abl. abs.) im Lateinischen mit Wiedergabemöglichkeiten im Deutschen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rPr>
                <w:szCs w:val="20"/>
              </w:rPr>
            </w:pPr>
            <w:r>
              <w:rPr>
                <w:szCs w:val="20"/>
              </w:rPr>
              <w:t>erklären die Funktion von Wortwahl (hier: Wortfelder)</w:t>
            </w:r>
          </w:p>
          <w:p w:rsidR="00EF72B5" w:rsidRDefault="00A81E1B">
            <w:pPr>
              <w:numPr>
                <w:ilvl w:val="0"/>
                <w:numId w:val="2"/>
              </w:numPr>
              <w:spacing w:before="60"/>
              <w:jc w:val="left"/>
            </w:pPr>
            <w:r>
              <w:rPr>
                <w:szCs w:val="20"/>
              </w:rPr>
              <w:t>prüfen die Übersetzbarkeit lateinischer Strukturen (hier: Abl. abs.)</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einzelne Mythen: Midas (+)</w:t>
            </w:r>
          </w:p>
          <w:p w:rsidR="00EF72B5" w:rsidRDefault="00A81E1B">
            <w:pPr>
              <w:numPr>
                <w:ilvl w:val="0"/>
                <w:numId w:val="2"/>
              </w:numPr>
              <w:spacing w:before="60"/>
              <w:jc w:val="left"/>
              <w:rPr>
                <w:szCs w:val="20"/>
              </w:rPr>
            </w:pPr>
            <w:r>
              <w:rPr>
                <w:szCs w:val="20"/>
              </w:rPr>
              <w:t>einzelne römische und griechische Götter: Bacchus</w:t>
            </w:r>
          </w:p>
          <w:p w:rsidR="00EF72B5" w:rsidRDefault="00A81E1B">
            <w:pPr>
              <w:numPr>
                <w:ilvl w:val="0"/>
                <w:numId w:val="2"/>
              </w:numPr>
              <w:spacing w:before="60"/>
              <w:jc w:val="left"/>
              <w:rPr>
                <w:szCs w:val="20"/>
              </w:rPr>
            </w:pPr>
            <w:r>
              <w:rPr>
                <w:szCs w:val="20"/>
              </w:rPr>
              <w:t>Didaktische Funktion des Mythos (+)</w:t>
            </w:r>
          </w:p>
          <w:p w:rsidR="00EF72B5" w:rsidRDefault="00A81E1B">
            <w:pPr>
              <w:numPr>
                <w:ilvl w:val="0"/>
                <w:numId w:val="2"/>
              </w:numPr>
              <w:spacing w:before="60"/>
              <w:jc w:val="left"/>
              <w:rPr>
                <w:szCs w:val="20"/>
              </w:rPr>
            </w:pPr>
            <w:r>
              <w:rPr>
                <w:color w:val="008000"/>
                <w:szCs w:val="20"/>
              </w:rPr>
              <w:t>Kern- und Fachbegriffe, Namen:</w:t>
            </w:r>
          </w:p>
          <w:p w:rsidR="00EF72B5" w:rsidRDefault="00A81E1B">
            <w:pPr>
              <w:numPr>
                <w:ilvl w:val="0"/>
                <w:numId w:val="1"/>
              </w:numPr>
              <w:ind w:left="340" w:hanging="170"/>
              <w:jc w:val="left"/>
              <w:rPr>
                <w:i/>
                <w:szCs w:val="20"/>
              </w:rPr>
            </w:pPr>
            <w:proofErr w:type="spellStart"/>
            <w:r>
              <w:rPr>
                <w:i/>
                <w:szCs w:val="20"/>
              </w:rPr>
              <w:t>fides</w:t>
            </w:r>
            <w:proofErr w:type="spellEnd"/>
          </w:p>
          <w:p w:rsidR="00EF72B5" w:rsidRDefault="00A81E1B">
            <w:pPr>
              <w:numPr>
                <w:ilvl w:val="0"/>
                <w:numId w:val="1"/>
              </w:numPr>
              <w:ind w:left="340" w:hanging="170"/>
              <w:jc w:val="left"/>
              <w:rPr>
                <w:szCs w:val="20"/>
              </w:rPr>
            </w:pPr>
            <w:r>
              <w:rPr>
                <w:szCs w:val="20"/>
              </w:rPr>
              <w:t>Hybris (+)</w:t>
            </w:r>
          </w:p>
          <w:p w:rsidR="00EF72B5" w:rsidRDefault="00A81E1B">
            <w:pPr>
              <w:numPr>
                <w:ilvl w:val="0"/>
                <w:numId w:val="1"/>
              </w:numPr>
              <w:ind w:left="340" w:hanging="170"/>
              <w:jc w:val="left"/>
              <w:rPr>
                <w:szCs w:val="20"/>
              </w:rPr>
            </w:pPr>
            <w:proofErr w:type="spellStart"/>
            <w:r>
              <w:rPr>
                <w:i/>
                <w:szCs w:val="20"/>
              </w:rPr>
              <w:t>superbia</w:t>
            </w:r>
            <w:proofErr w:type="spellEnd"/>
            <w:r>
              <w:rPr>
                <w:szCs w:val="20"/>
              </w:rPr>
              <w:t xml:space="preserve"> (+)</w:t>
            </w:r>
          </w:p>
          <w:p w:rsidR="00EF72B5" w:rsidRDefault="00A81E1B">
            <w:pPr>
              <w:numPr>
                <w:ilvl w:val="0"/>
                <w:numId w:val="1"/>
              </w:numPr>
              <w:ind w:left="340" w:hanging="170"/>
              <w:jc w:val="left"/>
              <w:rPr>
                <w:szCs w:val="20"/>
              </w:rPr>
            </w:pPr>
            <w:proofErr w:type="spellStart"/>
            <w:r>
              <w:rPr>
                <w:szCs w:val="20"/>
              </w:rPr>
              <w:t>Tantalus</w:t>
            </w:r>
            <w:proofErr w:type="spellEnd"/>
            <w:r>
              <w:rPr>
                <w:szCs w:val="20"/>
              </w:rPr>
              <w:t xml:space="preserve"> (+)</w:t>
            </w:r>
          </w:p>
          <w:p w:rsidR="00EF72B5" w:rsidRDefault="00A81E1B">
            <w:pPr>
              <w:numPr>
                <w:ilvl w:val="0"/>
                <w:numId w:val="1"/>
              </w:numPr>
              <w:ind w:left="340" w:hanging="170"/>
              <w:jc w:val="left"/>
            </w:pPr>
            <w:proofErr w:type="spellStart"/>
            <w:r>
              <w:rPr>
                <w:szCs w:val="20"/>
              </w:rPr>
              <w:t>Sisyphus</w:t>
            </w:r>
            <w:proofErr w:type="spellEnd"/>
            <w:r>
              <w:rPr>
                <w:szCs w:val="20"/>
              </w:rPr>
              <w:t xml:space="preserve">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Anmerkungen/Sonstiges</w:t>
            </w:r>
          </w:p>
          <w:p w:rsidR="00EF72B5" w:rsidRDefault="00EF72B5">
            <w:pPr>
              <w:spacing w:before="60"/>
              <w:jc w:val="left"/>
              <w:rPr>
                <w:szCs w:val="20"/>
              </w:rPr>
            </w:pPr>
          </w:p>
          <w:p w:rsidR="00EF72B5" w:rsidRDefault="00EF72B5">
            <w:pPr>
              <w:spacing w:before="60"/>
              <w:jc w:val="left"/>
              <w:rPr>
                <w:szCs w:val="20"/>
              </w:rPr>
            </w:pPr>
          </w:p>
          <w:p w:rsidR="00EF72B5" w:rsidRDefault="00EF72B5">
            <w:pPr>
              <w:spacing w:before="60"/>
              <w:jc w:val="left"/>
              <w:rPr>
                <w:szCs w:val="20"/>
              </w:rPr>
            </w:pPr>
          </w:p>
          <w:p w:rsidR="00EF72B5" w:rsidRDefault="00EF72B5">
            <w:pPr>
              <w:spacing w:before="60"/>
              <w:jc w:val="left"/>
            </w:pPr>
          </w:p>
        </w:tc>
      </w:tr>
    </w:tbl>
    <w:p w:rsidR="00EF72B5" w:rsidRDefault="00EF72B5"/>
    <w:p w:rsidR="00EF72B5" w:rsidRDefault="00A81E1B">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22</w:t>
            </w:r>
            <w:r>
              <w:rPr>
                <w:b/>
                <w:color w:val="3333CC"/>
                <w:szCs w:val="20"/>
              </w:rPr>
              <w:tab/>
            </w:r>
            <w:r>
              <w:rPr>
                <w:b/>
                <w:color w:val="3333CC"/>
                <w:szCs w:val="20"/>
              </w:rPr>
              <w:t>Diogenes: Ein besonderer Philo</w:t>
            </w:r>
            <w:r>
              <w:rPr>
                <w:b/>
                <w:color w:val="3333CC"/>
                <w:szCs w:val="20"/>
              </w:rPr>
              <w:softHyphen/>
              <w:t>soph (inkl. Lese</w:t>
            </w:r>
            <w:r>
              <w:rPr>
                <w:b/>
                <w:color w:val="3333CC"/>
                <w:szCs w:val="20"/>
              </w:rPr>
              <w:softHyphen/>
              <w:t>text, S.</w:t>
            </w:r>
            <w:r>
              <w:rPr>
                <w:b/>
                <w:color w:val="3333CC"/>
                <w:sz w:val="14"/>
                <w:szCs w:val="20"/>
              </w:rPr>
              <w:t> </w:t>
            </w:r>
            <w:r>
              <w:rPr>
                <w:b/>
                <w:color w:val="3333CC"/>
                <w:szCs w:val="20"/>
              </w:rPr>
              <w:t>74)</w:t>
            </w:r>
          </w:p>
          <w:p w:rsidR="00EF72B5" w:rsidRDefault="00A81E1B">
            <w:pPr>
              <w:numPr>
                <w:ilvl w:val="0"/>
                <w:numId w:val="2"/>
              </w:numPr>
              <w:spacing w:before="60"/>
              <w:jc w:val="left"/>
              <w:rPr>
                <w:i/>
                <w:szCs w:val="20"/>
              </w:rPr>
            </w:pPr>
            <w:r>
              <w:rPr>
                <w:szCs w:val="20"/>
              </w:rPr>
              <w:t xml:space="preserve">Reflexivität im </w:t>
            </w:r>
            <w:proofErr w:type="spellStart"/>
            <w:r>
              <w:rPr>
                <w:szCs w:val="20"/>
              </w:rPr>
              <w:t>AcI</w:t>
            </w:r>
            <w:proofErr w:type="spellEnd"/>
          </w:p>
          <w:p w:rsidR="00EF72B5" w:rsidRDefault="00A81E1B">
            <w:pPr>
              <w:numPr>
                <w:ilvl w:val="0"/>
                <w:numId w:val="2"/>
              </w:numPr>
              <w:spacing w:before="60"/>
              <w:jc w:val="left"/>
              <w:rPr>
                <w:i/>
                <w:szCs w:val="20"/>
              </w:rPr>
            </w:pPr>
            <w:r>
              <w:rPr>
                <w:szCs w:val="20"/>
              </w:rPr>
              <w:t xml:space="preserve">Satzgliedfunktion von </w:t>
            </w:r>
            <w:proofErr w:type="spellStart"/>
            <w:r>
              <w:rPr>
                <w:szCs w:val="20"/>
              </w:rPr>
              <w:t>AcI</w:t>
            </w:r>
            <w:proofErr w:type="spellEnd"/>
            <w:r>
              <w:rPr>
                <w:szCs w:val="20"/>
              </w:rPr>
              <w:t xml:space="preserve"> und Inf.</w:t>
            </w:r>
          </w:p>
          <w:p w:rsidR="00EF72B5" w:rsidRDefault="00A81E1B">
            <w:pPr>
              <w:numPr>
                <w:ilvl w:val="0"/>
                <w:numId w:val="2"/>
              </w:numPr>
              <w:spacing w:before="60"/>
              <w:jc w:val="left"/>
              <w:rPr>
                <w:i/>
                <w:szCs w:val="20"/>
              </w:rPr>
            </w:pPr>
            <w:r>
              <w:rPr>
                <w:i/>
                <w:szCs w:val="20"/>
              </w:rPr>
              <w:t xml:space="preserve">se, </w:t>
            </w:r>
            <w:proofErr w:type="spellStart"/>
            <w:r>
              <w:rPr>
                <w:i/>
                <w:szCs w:val="20"/>
              </w:rPr>
              <w:t>sibi</w:t>
            </w:r>
            <w:proofErr w:type="spellEnd"/>
          </w:p>
          <w:p w:rsidR="00EF72B5" w:rsidRDefault="00A81E1B">
            <w:pPr>
              <w:numPr>
                <w:ilvl w:val="0"/>
                <w:numId w:val="2"/>
              </w:numPr>
              <w:spacing w:before="60"/>
              <w:jc w:val="left"/>
            </w:pPr>
            <w:proofErr w:type="spellStart"/>
            <w:r>
              <w:rPr>
                <w:i/>
                <w:szCs w:val="20"/>
              </w:rPr>
              <w:t>velle</w:t>
            </w:r>
            <w:proofErr w:type="spellEnd"/>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29 neue </w:t>
            </w:r>
            <w:proofErr w:type="spellStart"/>
            <w:r>
              <w:rPr>
                <w:szCs w:val="20"/>
              </w:rPr>
              <w:t>Vok</w:t>
            </w:r>
            <w:proofErr w:type="spellEnd"/>
            <w:r>
              <w:rPr>
                <w:szCs w:val="20"/>
              </w:rPr>
              <w:t>. (insges. 603)</w:t>
            </w:r>
          </w:p>
          <w:p w:rsidR="00EF72B5" w:rsidRDefault="00A81E1B">
            <w:pPr>
              <w:numPr>
                <w:ilvl w:val="0"/>
                <w:numId w:val="2"/>
              </w:numPr>
              <w:spacing w:before="60"/>
              <w:jc w:val="left"/>
              <w:rPr>
                <w:szCs w:val="20"/>
              </w:rPr>
            </w:pPr>
            <w:r>
              <w:rPr>
                <w:szCs w:val="20"/>
              </w:rPr>
              <w:t xml:space="preserve">ordnen neue Formen (hier: </w:t>
            </w:r>
            <w:proofErr w:type="spellStart"/>
            <w:r>
              <w:rPr>
                <w:i/>
                <w:szCs w:val="20"/>
              </w:rPr>
              <w:t>velle</w:t>
            </w:r>
            <w:proofErr w:type="spellEnd"/>
            <w:r>
              <w:rPr>
                <w:szCs w:val="20"/>
              </w:rPr>
              <w:t xml:space="preserve">) in das Gesamtsystem der Formen ein und </w:t>
            </w:r>
            <w:r>
              <w:rPr>
                <w:szCs w:val="20"/>
              </w:rPr>
              <w:t>strukturieren so ihr Wissen</w:t>
            </w:r>
          </w:p>
          <w:p w:rsidR="00EF72B5" w:rsidRDefault="00A81E1B">
            <w:pPr>
              <w:numPr>
                <w:ilvl w:val="0"/>
                <w:numId w:val="2"/>
              </w:numPr>
              <w:spacing w:before="60"/>
              <w:jc w:val="left"/>
              <w:rPr>
                <w:szCs w:val="20"/>
              </w:rPr>
            </w:pPr>
            <w:r>
              <w:rPr>
                <w:szCs w:val="20"/>
              </w:rPr>
              <w:t>identifizieren und benennen weitere Füllungsmöglichkeiten der Satzglieder:</w:t>
            </w:r>
          </w:p>
          <w:p w:rsidR="00EF72B5" w:rsidRDefault="00A81E1B">
            <w:pPr>
              <w:numPr>
                <w:ilvl w:val="0"/>
                <w:numId w:val="1"/>
              </w:numPr>
              <w:ind w:left="340" w:hanging="170"/>
              <w:jc w:val="left"/>
              <w:rPr>
                <w:szCs w:val="20"/>
              </w:rPr>
            </w:pPr>
            <w:r>
              <w:rPr>
                <w:szCs w:val="20"/>
              </w:rPr>
              <w:t>Inf. als Subjekt</w:t>
            </w:r>
          </w:p>
          <w:p w:rsidR="00EF72B5" w:rsidRDefault="00A81E1B">
            <w:pPr>
              <w:numPr>
                <w:ilvl w:val="0"/>
                <w:numId w:val="1"/>
              </w:numPr>
              <w:ind w:left="340" w:hanging="170"/>
              <w:jc w:val="left"/>
              <w:rPr>
                <w:szCs w:val="20"/>
              </w:rPr>
            </w:pPr>
            <w:proofErr w:type="spellStart"/>
            <w:r>
              <w:rPr>
                <w:szCs w:val="20"/>
              </w:rPr>
              <w:t>AcI</w:t>
            </w:r>
            <w:proofErr w:type="spellEnd"/>
            <w:r>
              <w:rPr>
                <w:szCs w:val="20"/>
              </w:rPr>
              <w:t xml:space="preserve"> als Subjekt</w:t>
            </w:r>
          </w:p>
          <w:p w:rsidR="00EF72B5" w:rsidRDefault="00A81E1B">
            <w:pPr>
              <w:numPr>
                <w:ilvl w:val="0"/>
                <w:numId w:val="2"/>
              </w:numPr>
              <w:spacing w:before="60"/>
              <w:jc w:val="left"/>
              <w:rPr>
                <w:szCs w:val="20"/>
              </w:rPr>
            </w:pPr>
            <w:r>
              <w:rPr>
                <w:szCs w:val="20"/>
              </w:rPr>
              <w:t xml:space="preserve">geben das Reflexivpronomen im lateinischen </w:t>
            </w:r>
            <w:proofErr w:type="spellStart"/>
            <w:r>
              <w:rPr>
                <w:szCs w:val="20"/>
              </w:rPr>
              <w:t>AcI</w:t>
            </w:r>
            <w:proofErr w:type="spellEnd"/>
            <w:r>
              <w:rPr>
                <w:szCs w:val="20"/>
              </w:rPr>
              <w:t xml:space="preserve"> in der deutschen Sprache mit dem Personalpronomen wieder</w:t>
            </w:r>
          </w:p>
          <w:p w:rsidR="00EF72B5" w:rsidRDefault="00A81E1B">
            <w:pPr>
              <w:numPr>
                <w:ilvl w:val="0"/>
                <w:numId w:val="2"/>
              </w:numPr>
              <w:spacing w:before="60"/>
              <w:jc w:val="left"/>
              <w:rPr>
                <w:szCs w:val="20"/>
              </w:rPr>
            </w:pPr>
            <w:r>
              <w:rPr>
                <w:szCs w:val="20"/>
              </w:rPr>
              <w:t xml:space="preserve">beschreiben das </w:t>
            </w:r>
            <w:r>
              <w:rPr>
                <w:szCs w:val="20"/>
              </w:rPr>
              <w:t xml:space="preserve">Phänomen </w:t>
            </w:r>
            <w:proofErr w:type="spellStart"/>
            <w:r>
              <w:rPr>
                <w:szCs w:val="20"/>
              </w:rPr>
              <w:t>AcI</w:t>
            </w:r>
            <w:proofErr w:type="spellEnd"/>
            <w:r>
              <w:rPr>
                <w:szCs w:val="20"/>
              </w:rPr>
              <w:t xml:space="preserve"> im Lateinischen und Deutschen</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rPr>
                <w:szCs w:val="20"/>
              </w:rPr>
            </w:pPr>
            <w:r>
              <w:rPr>
                <w:szCs w:val="20"/>
              </w:rPr>
              <w:t>setzen den Inhalt des übersetzten Textes gestaltend um (hier: szenische Darstellung)</w:t>
            </w:r>
          </w:p>
          <w:p w:rsidR="00EF72B5" w:rsidRDefault="00A81E1B">
            <w:pPr>
              <w:numPr>
                <w:ilvl w:val="0"/>
                <w:numId w:val="2"/>
              </w:numPr>
              <w:spacing w:before="60"/>
              <w:jc w:val="left"/>
            </w:pPr>
            <w:r>
              <w:rPr>
                <w:szCs w:val="20"/>
              </w:rPr>
              <w:t>setzen den Inhalt des übersetzten Textes gestaltend um, z.</w:t>
            </w:r>
            <w:r>
              <w:rPr>
                <w:sz w:val="14"/>
                <w:szCs w:val="20"/>
              </w:rPr>
              <w:t> </w:t>
            </w:r>
            <w:r>
              <w:rPr>
                <w:szCs w:val="20"/>
              </w:rPr>
              <w:t xml:space="preserve">B. durch Ausfüllen von Leerstellen (hier: Verfassen </w:t>
            </w:r>
            <w:r>
              <w:rPr>
                <w:szCs w:val="20"/>
              </w:rPr>
              <w:t>einer Fortsetzung)</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Griechische Philosophie (+)</w:t>
            </w:r>
          </w:p>
          <w:p w:rsidR="00EF72B5" w:rsidRDefault="00A81E1B">
            <w:pPr>
              <w:numPr>
                <w:ilvl w:val="0"/>
                <w:numId w:val="2"/>
              </w:numPr>
              <w:spacing w:before="60"/>
              <w:jc w:val="left"/>
              <w:rPr>
                <w:szCs w:val="20"/>
              </w:rPr>
            </w:pPr>
            <w:r>
              <w:rPr>
                <w:szCs w:val="20"/>
              </w:rPr>
              <w:t>vergleichen angeleitet Elemente der römischen Gesellschafts- und Lebensstruktur mit denen ihres eigenen Erfahrungs- und Erlebensbereiches (hier: alternative Lebenskonzepte)</w:t>
            </w:r>
          </w:p>
          <w:p w:rsidR="00EF72B5" w:rsidRDefault="00A81E1B">
            <w:pPr>
              <w:numPr>
                <w:ilvl w:val="0"/>
                <w:numId w:val="2"/>
              </w:numPr>
              <w:spacing w:before="60"/>
              <w:jc w:val="left"/>
              <w:rPr>
                <w:szCs w:val="20"/>
              </w:rPr>
            </w:pPr>
            <w:r>
              <w:rPr>
                <w:szCs w:val="20"/>
              </w:rPr>
              <w:t>einzelne Mythen: D</w:t>
            </w:r>
            <w:r>
              <w:rPr>
                <w:szCs w:val="20"/>
              </w:rPr>
              <w:t>ädalus und Ikarus</w:t>
            </w:r>
          </w:p>
          <w:p w:rsidR="00EF72B5" w:rsidRDefault="00A81E1B">
            <w:pPr>
              <w:numPr>
                <w:ilvl w:val="0"/>
                <w:numId w:val="2"/>
              </w:numPr>
              <w:spacing w:before="60"/>
              <w:jc w:val="left"/>
              <w:rPr>
                <w:szCs w:val="20"/>
              </w:rPr>
            </w:pPr>
            <w:r>
              <w:rPr>
                <w:color w:val="008000"/>
                <w:szCs w:val="20"/>
              </w:rPr>
              <w:t>Fachbegriffe und Namen:</w:t>
            </w:r>
          </w:p>
          <w:p w:rsidR="00EF72B5" w:rsidRDefault="00A81E1B">
            <w:pPr>
              <w:numPr>
                <w:ilvl w:val="0"/>
                <w:numId w:val="1"/>
              </w:numPr>
              <w:ind w:left="340" w:hanging="170"/>
              <w:jc w:val="left"/>
              <w:rPr>
                <w:szCs w:val="20"/>
              </w:rPr>
            </w:pPr>
            <w:r>
              <w:rPr>
                <w:szCs w:val="20"/>
              </w:rPr>
              <w:t>Sokrates (+)</w:t>
            </w:r>
          </w:p>
          <w:p w:rsidR="00EF72B5" w:rsidRDefault="00A81E1B">
            <w:pPr>
              <w:numPr>
                <w:ilvl w:val="0"/>
                <w:numId w:val="1"/>
              </w:numPr>
              <w:ind w:left="340" w:hanging="170"/>
              <w:jc w:val="left"/>
              <w:rPr>
                <w:szCs w:val="20"/>
              </w:rPr>
            </w:pPr>
            <w:r>
              <w:rPr>
                <w:szCs w:val="20"/>
              </w:rPr>
              <w:t>Ethik</w:t>
            </w:r>
            <w:r>
              <w:rPr>
                <w:i/>
                <w:szCs w:val="20"/>
              </w:rPr>
              <w:t xml:space="preserve"> </w:t>
            </w:r>
            <w:r>
              <w:rPr>
                <w:szCs w:val="20"/>
              </w:rPr>
              <w:t>(+)</w:t>
            </w:r>
          </w:p>
          <w:p w:rsidR="00EF72B5" w:rsidRDefault="00A81E1B">
            <w:pPr>
              <w:numPr>
                <w:ilvl w:val="0"/>
                <w:numId w:val="1"/>
              </w:numPr>
              <w:ind w:left="340" w:hanging="170"/>
              <w:jc w:val="left"/>
              <w:rPr>
                <w:szCs w:val="20"/>
              </w:rPr>
            </w:pPr>
            <w:r>
              <w:rPr>
                <w:szCs w:val="20"/>
              </w:rPr>
              <w:t>Platon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CC0066"/>
              </w:rPr>
            </w:pPr>
            <w:r>
              <w:rPr>
                <w:b/>
                <w:color w:val="CC0066"/>
              </w:rPr>
              <w:t>Anmerkungen/Sonstiges</w:t>
            </w:r>
          </w:p>
          <w:p w:rsidR="00EF72B5" w:rsidRDefault="00A81E1B">
            <w:pPr>
              <w:numPr>
                <w:ilvl w:val="0"/>
                <w:numId w:val="2"/>
              </w:numPr>
              <w:spacing w:before="60"/>
              <w:jc w:val="left"/>
              <w:rPr>
                <w:szCs w:val="20"/>
              </w:rPr>
            </w:pPr>
            <w:r>
              <w:rPr>
                <w:szCs w:val="20"/>
              </w:rPr>
              <w:t xml:space="preserve">Dädalus und Ikarus (verbindlich im KC) im </w:t>
            </w:r>
            <w:proofErr w:type="spellStart"/>
            <w:r>
              <w:rPr>
                <w:szCs w:val="20"/>
              </w:rPr>
              <w:t>Lesetext</w:t>
            </w:r>
            <w:proofErr w:type="spellEnd"/>
            <w:r>
              <w:rPr>
                <w:szCs w:val="20"/>
              </w:rPr>
              <w:t xml:space="preserve"> des Sequenzabschlusses, S.</w:t>
            </w:r>
            <w:r>
              <w:rPr>
                <w:sz w:val="14"/>
                <w:szCs w:val="20"/>
              </w:rPr>
              <w:t> </w:t>
            </w:r>
            <w:r>
              <w:rPr>
                <w:szCs w:val="20"/>
              </w:rPr>
              <w:t>74</w:t>
            </w:r>
          </w:p>
          <w:p w:rsidR="00EF72B5" w:rsidRDefault="00EF72B5">
            <w:pPr>
              <w:spacing w:before="60"/>
              <w:jc w:val="left"/>
            </w:pPr>
          </w:p>
          <w:p w:rsidR="00EF72B5" w:rsidRDefault="00EF72B5">
            <w:pPr>
              <w:spacing w:before="60"/>
              <w:jc w:val="left"/>
            </w:pPr>
          </w:p>
          <w:p w:rsidR="00EF72B5" w:rsidRDefault="00EF72B5">
            <w:pPr>
              <w:spacing w:before="60"/>
              <w:jc w:val="left"/>
            </w:pPr>
          </w:p>
          <w:p w:rsidR="00EF72B5" w:rsidRDefault="00EF72B5">
            <w:pPr>
              <w:spacing w:before="60"/>
            </w:pPr>
          </w:p>
        </w:tc>
      </w:tr>
    </w:tbl>
    <w:p w:rsidR="00EF72B5" w:rsidRDefault="00EF72B5"/>
    <w:p w:rsidR="00EF72B5" w:rsidRDefault="00A81E1B">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23</w:t>
            </w:r>
            <w:r>
              <w:rPr>
                <w:b/>
                <w:color w:val="3333CC"/>
                <w:szCs w:val="20"/>
              </w:rPr>
              <w:tab/>
              <w:t>Rom und Karthago</w:t>
            </w:r>
          </w:p>
          <w:p w:rsidR="00EF72B5" w:rsidRDefault="00A81E1B">
            <w:pPr>
              <w:numPr>
                <w:ilvl w:val="0"/>
                <w:numId w:val="2"/>
              </w:numPr>
              <w:spacing w:before="60"/>
              <w:jc w:val="left"/>
              <w:rPr>
                <w:szCs w:val="20"/>
              </w:rPr>
            </w:pPr>
            <w:proofErr w:type="spellStart"/>
            <w:r>
              <w:rPr>
                <w:szCs w:val="20"/>
              </w:rPr>
              <w:t>Konj</w:t>
            </w:r>
            <w:proofErr w:type="spellEnd"/>
            <w:r>
              <w:rPr>
                <w:szCs w:val="20"/>
              </w:rPr>
              <w:t xml:space="preserve">. </w:t>
            </w:r>
            <w:proofErr w:type="spellStart"/>
            <w:r>
              <w:rPr>
                <w:szCs w:val="20"/>
              </w:rPr>
              <w:t>Impf</w:t>
            </w:r>
            <w:proofErr w:type="spellEnd"/>
            <w:r>
              <w:rPr>
                <w:szCs w:val="20"/>
              </w:rPr>
              <w:t>.</w:t>
            </w:r>
          </w:p>
          <w:p w:rsidR="00EF72B5" w:rsidRDefault="00A81E1B">
            <w:pPr>
              <w:numPr>
                <w:ilvl w:val="0"/>
                <w:numId w:val="2"/>
              </w:numPr>
              <w:spacing w:before="60"/>
              <w:jc w:val="left"/>
              <w:rPr>
                <w:szCs w:val="20"/>
              </w:rPr>
            </w:pPr>
            <w:proofErr w:type="spellStart"/>
            <w:r>
              <w:rPr>
                <w:szCs w:val="20"/>
              </w:rPr>
              <w:t>Konj</w:t>
            </w:r>
            <w:proofErr w:type="spellEnd"/>
            <w:r>
              <w:rPr>
                <w:szCs w:val="20"/>
              </w:rPr>
              <w:t xml:space="preserve">. </w:t>
            </w:r>
            <w:proofErr w:type="spellStart"/>
            <w:r>
              <w:rPr>
                <w:szCs w:val="20"/>
              </w:rPr>
              <w:t>Plqu</w:t>
            </w:r>
            <w:proofErr w:type="spellEnd"/>
            <w:r>
              <w:rPr>
                <w:szCs w:val="20"/>
              </w:rPr>
              <w:t>.</w:t>
            </w:r>
          </w:p>
          <w:p w:rsidR="00EF72B5" w:rsidRDefault="00A81E1B">
            <w:pPr>
              <w:numPr>
                <w:ilvl w:val="0"/>
                <w:numId w:val="2"/>
              </w:numPr>
              <w:spacing w:before="60"/>
              <w:jc w:val="left"/>
              <w:rPr>
                <w:szCs w:val="20"/>
              </w:rPr>
            </w:pPr>
            <w:r>
              <w:rPr>
                <w:szCs w:val="20"/>
              </w:rPr>
              <w:t xml:space="preserve">Irrealis der Gegenwart </w:t>
            </w:r>
            <w:r>
              <w:rPr>
                <w:szCs w:val="20"/>
              </w:rPr>
              <w:t>und der Vergangenheit</w:t>
            </w:r>
          </w:p>
          <w:p w:rsidR="00EF72B5" w:rsidRDefault="00A81E1B">
            <w:pPr>
              <w:numPr>
                <w:ilvl w:val="0"/>
                <w:numId w:val="2"/>
              </w:numPr>
              <w:spacing w:before="60"/>
              <w:jc w:val="left"/>
            </w:pPr>
            <w:r>
              <w:rPr>
                <w:szCs w:val="20"/>
              </w:rPr>
              <w:t>doppelter Akkusativ</w:t>
            </w:r>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19 neue </w:t>
            </w:r>
            <w:proofErr w:type="spellStart"/>
            <w:r>
              <w:rPr>
                <w:szCs w:val="20"/>
              </w:rPr>
              <w:t>Vok</w:t>
            </w:r>
            <w:proofErr w:type="spellEnd"/>
            <w:r>
              <w:rPr>
                <w:szCs w:val="20"/>
              </w:rPr>
              <w:t>. (insges. 622)</w:t>
            </w:r>
          </w:p>
          <w:p w:rsidR="00EF72B5" w:rsidRDefault="00A81E1B">
            <w:pPr>
              <w:numPr>
                <w:ilvl w:val="0"/>
                <w:numId w:val="2"/>
              </w:numPr>
              <w:spacing w:before="60"/>
              <w:jc w:val="left"/>
              <w:rPr>
                <w:szCs w:val="20"/>
              </w:rPr>
            </w:pPr>
            <w:r>
              <w:rPr>
                <w:szCs w:val="20"/>
              </w:rPr>
              <w:t xml:space="preserve">beschreiben das Konzept von Kernbegriffen, die in der Welt der Römer verankert sind (hier: </w:t>
            </w:r>
            <w:r>
              <w:rPr>
                <w:i/>
                <w:szCs w:val="20"/>
              </w:rPr>
              <w:t>imperium</w:t>
            </w:r>
            <w:r>
              <w:rPr>
                <w:szCs w:val="20"/>
              </w:rPr>
              <w:t>), und wählen bei der Übersetzung zunehmend selbstständig kontextbezogen</w:t>
            </w:r>
            <w:r>
              <w:rPr>
                <w:szCs w:val="20"/>
              </w:rPr>
              <w:t xml:space="preserve"> entsprechende deutsche Begriffe</w:t>
            </w:r>
          </w:p>
          <w:p w:rsidR="00EF72B5" w:rsidRDefault="00A81E1B">
            <w:pPr>
              <w:numPr>
                <w:ilvl w:val="0"/>
                <w:numId w:val="2"/>
              </w:numPr>
              <w:spacing w:before="60"/>
              <w:jc w:val="left"/>
              <w:rPr>
                <w:szCs w:val="20"/>
              </w:rPr>
            </w:pPr>
            <w:r>
              <w:rPr>
                <w:szCs w:val="20"/>
              </w:rPr>
              <w:t>identifizieren Formen im</w:t>
            </w:r>
          </w:p>
          <w:p w:rsidR="00EF72B5" w:rsidRDefault="00A81E1B">
            <w:pPr>
              <w:numPr>
                <w:ilvl w:val="0"/>
                <w:numId w:val="1"/>
              </w:numPr>
              <w:ind w:left="340" w:hanging="170"/>
              <w:jc w:val="left"/>
              <w:rPr>
                <w:szCs w:val="20"/>
              </w:rPr>
            </w:pPr>
            <w:proofErr w:type="spellStart"/>
            <w:r>
              <w:rPr>
                <w:szCs w:val="20"/>
              </w:rPr>
              <w:t>Ind</w:t>
            </w:r>
            <w:proofErr w:type="spellEnd"/>
            <w:r>
              <w:rPr>
                <w:szCs w:val="20"/>
              </w:rPr>
              <w:t xml:space="preserve">. und </w:t>
            </w:r>
            <w:proofErr w:type="spellStart"/>
            <w:r>
              <w:rPr>
                <w:szCs w:val="20"/>
              </w:rPr>
              <w:t>Konj</w:t>
            </w:r>
            <w:proofErr w:type="spellEnd"/>
            <w:r>
              <w:rPr>
                <w:szCs w:val="20"/>
              </w:rPr>
              <w:t xml:space="preserve">. </w:t>
            </w:r>
            <w:proofErr w:type="spellStart"/>
            <w:r>
              <w:rPr>
                <w:szCs w:val="20"/>
              </w:rPr>
              <w:t>Impf</w:t>
            </w:r>
            <w:proofErr w:type="spellEnd"/>
            <w:r>
              <w:rPr>
                <w:szCs w:val="20"/>
              </w:rPr>
              <w:t>.</w:t>
            </w:r>
          </w:p>
          <w:p w:rsidR="00EF72B5" w:rsidRDefault="00A81E1B">
            <w:pPr>
              <w:numPr>
                <w:ilvl w:val="0"/>
                <w:numId w:val="1"/>
              </w:numPr>
              <w:ind w:left="340" w:hanging="170"/>
              <w:jc w:val="left"/>
              <w:rPr>
                <w:szCs w:val="20"/>
              </w:rPr>
            </w:pPr>
            <w:proofErr w:type="spellStart"/>
            <w:r>
              <w:rPr>
                <w:szCs w:val="20"/>
              </w:rPr>
              <w:t>Ind</w:t>
            </w:r>
            <w:proofErr w:type="spellEnd"/>
            <w:r>
              <w:rPr>
                <w:szCs w:val="20"/>
              </w:rPr>
              <w:t xml:space="preserve">. und </w:t>
            </w:r>
            <w:proofErr w:type="spellStart"/>
            <w:r>
              <w:rPr>
                <w:szCs w:val="20"/>
              </w:rPr>
              <w:t>Konj</w:t>
            </w:r>
            <w:proofErr w:type="spellEnd"/>
            <w:r>
              <w:rPr>
                <w:szCs w:val="20"/>
              </w:rPr>
              <w:t xml:space="preserve">. </w:t>
            </w:r>
            <w:proofErr w:type="spellStart"/>
            <w:r>
              <w:rPr>
                <w:szCs w:val="20"/>
              </w:rPr>
              <w:t>Plqu</w:t>
            </w:r>
            <w:proofErr w:type="spellEnd"/>
            <w:r>
              <w:rPr>
                <w:szCs w:val="20"/>
              </w:rPr>
              <w:t>.</w:t>
            </w:r>
          </w:p>
          <w:p w:rsidR="00EF72B5" w:rsidRDefault="00A81E1B">
            <w:pPr>
              <w:spacing w:before="60"/>
              <w:ind w:left="170"/>
              <w:jc w:val="left"/>
              <w:rPr>
                <w:szCs w:val="20"/>
              </w:rPr>
            </w:pPr>
            <w:r>
              <w:rPr>
                <w:szCs w:val="20"/>
              </w:rPr>
              <w:t>anhand der Signale für</w:t>
            </w:r>
          </w:p>
          <w:p w:rsidR="00EF72B5" w:rsidRDefault="00A81E1B">
            <w:pPr>
              <w:numPr>
                <w:ilvl w:val="0"/>
                <w:numId w:val="1"/>
              </w:numPr>
              <w:ind w:left="340" w:hanging="170"/>
              <w:jc w:val="left"/>
              <w:rPr>
                <w:szCs w:val="20"/>
              </w:rPr>
            </w:pPr>
            <w:r>
              <w:rPr>
                <w:szCs w:val="20"/>
              </w:rPr>
              <w:t xml:space="preserve">Person/Numerus/Genus </w:t>
            </w:r>
            <w:proofErr w:type="spellStart"/>
            <w:r>
              <w:rPr>
                <w:szCs w:val="20"/>
              </w:rPr>
              <w:t>verbi</w:t>
            </w:r>
            <w:proofErr w:type="spellEnd"/>
          </w:p>
          <w:p w:rsidR="00EF72B5" w:rsidRDefault="00A81E1B">
            <w:pPr>
              <w:numPr>
                <w:ilvl w:val="0"/>
                <w:numId w:val="1"/>
              </w:numPr>
              <w:ind w:left="340" w:hanging="170"/>
              <w:jc w:val="left"/>
              <w:rPr>
                <w:szCs w:val="20"/>
              </w:rPr>
            </w:pPr>
            <w:r>
              <w:rPr>
                <w:szCs w:val="20"/>
              </w:rPr>
              <w:t>Tempus und Modus</w:t>
            </w:r>
          </w:p>
          <w:p w:rsidR="00EF72B5" w:rsidRDefault="00A81E1B">
            <w:pPr>
              <w:numPr>
                <w:ilvl w:val="0"/>
                <w:numId w:val="2"/>
              </w:numPr>
              <w:spacing w:before="60"/>
              <w:jc w:val="left"/>
              <w:rPr>
                <w:szCs w:val="20"/>
              </w:rPr>
            </w:pPr>
            <w:r>
              <w:rPr>
                <w:szCs w:val="20"/>
              </w:rPr>
              <w:t xml:space="preserve">ordnen neue Formen (hier: einschließlich </w:t>
            </w:r>
            <w:r>
              <w:rPr>
                <w:i/>
                <w:szCs w:val="20"/>
              </w:rPr>
              <w:t>esse</w:t>
            </w:r>
            <w:r>
              <w:rPr>
                <w:szCs w:val="20"/>
              </w:rPr>
              <w:t xml:space="preserve">, </w:t>
            </w:r>
            <w:proofErr w:type="spellStart"/>
            <w:r>
              <w:rPr>
                <w:i/>
                <w:szCs w:val="20"/>
              </w:rPr>
              <w:t>posse</w:t>
            </w:r>
            <w:proofErr w:type="spellEnd"/>
            <w:r>
              <w:rPr>
                <w:szCs w:val="20"/>
              </w:rPr>
              <w:t xml:space="preserve">, </w:t>
            </w:r>
            <w:proofErr w:type="spellStart"/>
            <w:r>
              <w:rPr>
                <w:i/>
                <w:szCs w:val="20"/>
              </w:rPr>
              <w:t>ire</w:t>
            </w:r>
            <w:proofErr w:type="spellEnd"/>
            <w:r>
              <w:rPr>
                <w:szCs w:val="20"/>
              </w:rPr>
              <w:t xml:space="preserve">, </w:t>
            </w:r>
            <w:proofErr w:type="spellStart"/>
            <w:r>
              <w:rPr>
                <w:i/>
                <w:szCs w:val="20"/>
              </w:rPr>
              <w:t>velle</w:t>
            </w:r>
            <w:proofErr w:type="spellEnd"/>
            <w:r>
              <w:rPr>
                <w:szCs w:val="20"/>
              </w:rPr>
              <w:t>) in das Gesamtsystem der</w:t>
            </w:r>
            <w:r>
              <w:rPr>
                <w:szCs w:val="20"/>
              </w:rPr>
              <w:t xml:space="preserve"> Formen ein und strukturieren so ihr Wissen</w:t>
            </w:r>
          </w:p>
          <w:p w:rsidR="00EF72B5" w:rsidRDefault="00A81E1B">
            <w:pPr>
              <w:numPr>
                <w:ilvl w:val="0"/>
                <w:numId w:val="2"/>
              </w:numPr>
              <w:spacing w:before="60"/>
              <w:jc w:val="left"/>
              <w:rPr>
                <w:szCs w:val="20"/>
              </w:rPr>
            </w:pPr>
            <w:r>
              <w:rPr>
                <w:szCs w:val="20"/>
              </w:rPr>
              <w:t>trennen in überschaubaren Satzgefügen Haupt- und Nebensätze und benennen die semantische Funktion der Nebensätze fachsprachlich richtig (hier: irreale Konditionalsätze)</w:t>
            </w:r>
          </w:p>
          <w:p w:rsidR="00EF72B5" w:rsidRDefault="00A81E1B">
            <w:pPr>
              <w:numPr>
                <w:ilvl w:val="0"/>
                <w:numId w:val="2"/>
              </w:numPr>
              <w:spacing w:before="60"/>
              <w:jc w:val="left"/>
            </w:pPr>
            <w:r>
              <w:rPr>
                <w:szCs w:val="20"/>
              </w:rPr>
              <w:t>vergleichen die Funktionen der Tempora im L</w:t>
            </w:r>
            <w:r>
              <w:rPr>
                <w:szCs w:val="20"/>
              </w:rPr>
              <w:t>ateinischen und Deutschen und benennen Unterschiede zum Deutschen</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rPr>
                <w:szCs w:val="20"/>
              </w:rPr>
            </w:pPr>
            <w:r>
              <w:rPr>
                <w:szCs w:val="20"/>
              </w:rPr>
              <w:t>arbeiten Merkmale der Personencharakterisierung heraus (hier: Hannibal)</w:t>
            </w:r>
          </w:p>
          <w:p w:rsidR="00EF72B5" w:rsidRDefault="00A81E1B">
            <w:pPr>
              <w:numPr>
                <w:ilvl w:val="0"/>
                <w:numId w:val="2"/>
              </w:numPr>
              <w:spacing w:before="60"/>
              <w:jc w:val="left"/>
            </w:pPr>
            <w:r>
              <w:rPr>
                <w:szCs w:val="20"/>
              </w:rPr>
              <w:t xml:space="preserve">analysieren einen Textabschnitt oder den Gesamttext unter einer übergeordneten Fragestellung (hier: </w:t>
            </w:r>
            <w:r>
              <w:rPr>
                <w:szCs w:val="20"/>
              </w:rPr>
              <w:t>Livius’ Beurteilung der militärischen Stärke Roms)</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Militärwesen</w:t>
            </w:r>
          </w:p>
          <w:p w:rsidR="00EF72B5" w:rsidRDefault="00A81E1B">
            <w:pPr>
              <w:numPr>
                <w:ilvl w:val="0"/>
                <w:numId w:val="2"/>
              </w:numPr>
              <w:spacing w:before="60"/>
              <w:jc w:val="left"/>
              <w:rPr>
                <w:szCs w:val="20"/>
              </w:rPr>
            </w:pPr>
            <w:r>
              <w:rPr>
                <w:szCs w:val="20"/>
              </w:rPr>
              <w:t>Punische Kriege (+)</w:t>
            </w:r>
          </w:p>
          <w:p w:rsidR="00EF72B5" w:rsidRDefault="00A81E1B">
            <w:pPr>
              <w:numPr>
                <w:ilvl w:val="0"/>
                <w:numId w:val="2"/>
              </w:numPr>
              <w:spacing w:before="60"/>
              <w:jc w:val="left"/>
              <w:rPr>
                <w:szCs w:val="20"/>
              </w:rPr>
            </w:pPr>
            <w:r>
              <w:rPr>
                <w:color w:val="008000"/>
                <w:szCs w:val="20"/>
              </w:rPr>
              <w:t>Fachbegriffe und Namen:</w:t>
            </w:r>
          </w:p>
          <w:p w:rsidR="00EF72B5" w:rsidRDefault="00A81E1B">
            <w:pPr>
              <w:numPr>
                <w:ilvl w:val="0"/>
                <w:numId w:val="1"/>
              </w:numPr>
              <w:ind w:left="340" w:hanging="170"/>
              <w:jc w:val="left"/>
              <w:rPr>
                <w:szCs w:val="20"/>
              </w:rPr>
            </w:pPr>
            <w:r>
              <w:rPr>
                <w:szCs w:val="20"/>
              </w:rPr>
              <w:t xml:space="preserve">Scipio </w:t>
            </w:r>
            <w:proofErr w:type="spellStart"/>
            <w:r>
              <w:rPr>
                <w:szCs w:val="20"/>
              </w:rPr>
              <w:t>Africanus</w:t>
            </w:r>
            <w:proofErr w:type="spellEnd"/>
            <w:r>
              <w:rPr>
                <w:szCs w:val="20"/>
              </w:rPr>
              <w:t xml:space="preserve"> </w:t>
            </w:r>
            <w:proofErr w:type="spellStart"/>
            <w:r>
              <w:rPr>
                <w:szCs w:val="20"/>
              </w:rPr>
              <w:t>maior</w:t>
            </w:r>
            <w:proofErr w:type="spellEnd"/>
            <w:r>
              <w:rPr>
                <w:szCs w:val="20"/>
              </w:rPr>
              <w:t xml:space="preserve"> (+)</w:t>
            </w:r>
          </w:p>
          <w:p w:rsidR="00EF72B5" w:rsidRDefault="00A81E1B">
            <w:pPr>
              <w:numPr>
                <w:ilvl w:val="0"/>
                <w:numId w:val="1"/>
              </w:numPr>
              <w:ind w:left="340" w:hanging="170"/>
              <w:jc w:val="left"/>
              <w:rPr>
                <w:szCs w:val="20"/>
              </w:rPr>
            </w:pPr>
            <w:r>
              <w:rPr>
                <w:szCs w:val="20"/>
              </w:rPr>
              <w:t>Hannibal (+)</w:t>
            </w:r>
          </w:p>
          <w:p w:rsidR="00EF72B5" w:rsidRDefault="00A81E1B">
            <w:pPr>
              <w:numPr>
                <w:ilvl w:val="0"/>
                <w:numId w:val="1"/>
              </w:numPr>
              <w:ind w:left="340" w:hanging="170"/>
              <w:jc w:val="left"/>
            </w:pPr>
            <w:r>
              <w:rPr>
                <w:szCs w:val="20"/>
              </w:rPr>
              <w:t>Pyrrhus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CC0066"/>
              </w:rPr>
            </w:pPr>
            <w:r>
              <w:rPr>
                <w:b/>
                <w:color w:val="CC0066"/>
              </w:rPr>
              <w:t>Anmerkungen/Sonstiges</w:t>
            </w:r>
          </w:p>
          <w:p w:rsidR="00EF72B5" w:rsidRDefault="00A81E1B">
            <w:pPr>
              <w:numPr>
                <w:ilvl w:val="0"/>
                <w:numId w:val="2"/>
              </w:numPr>
              <w:spacing w:before="60"/>
              <w:jc w:val="left"/>
              <w:rPr>
                <w:szCs w:val="20"/>
              </w:rPr>
            </w:pPr>
            <w:r>
              <w:rPr>
                <w:szCs w:val="20"/>
              </w:rPr>
              <w:t xml:space="preserve">Kernbegriff </w:t>
            </w:r>
            <w:r>
              <w:rPr>
                <w:i/>
                <w:szCs w:val="20"/>
              </w:rPr>
              <w:t>imperium</w:t>
            </w:r>
            <w:r>
              <w:rPr>
                <w:szCs w:val="20"/>
              </w:rPr>
              <w:t xml:space="preserve"> kann ggf. anhand des Sachinfotextes eingeführt werden.</w:t>
            </w:r>
          </w:p>
          <w:p w:rsidR="00EF72B5" w:rsidRDefault="00A81E1B">
            <w:pPr>
              <w:numPr>
                <w:ilvl w:val="0"/>
                <w:numId w:val="2"/>
              </w:numPr>
              <w:spacing w:before="60"/>
              <w:jc w:val="left"/>
            </w:pPr>
            <w:r>
              <w:rPr>
                <w:szCs w:val="20"/>
              </w:rPr>
              <w:t xml:space="preserve">Reale Konditionalsätze werden in </w:t>
            </w:r>
            <w:r>
              <w:rPr>
                <w:i/>
                <w:szCs w:val="20"/>
              </w:rPr>
              <w:t>Pontes</w:t>
            </w:r>
            <w:r>
              <w:rPr>
                <w:szCs w:val="20"/>
              </w:rPr>
              <w:t xml:space="preserve"> nicht eigens thematisiert, kommen aber in verschiedenen </w:t>
            </w:r>
            <w:proofErr w:type="spellStart"/>
            <w:r>
              <w:rPr>
                <w:szCs w:val="20"/>
              </w:rPr>
              <w:t>Lektionstexten</w:t>
            </w:r>
            <w:proofErr w:type="spellEnd"/>
            <w:r>
              <w:rPr>
                <w:szCs w:val="20"/>
              </w:rPr>
              <w:t xml:space="preserve"> vor (z.</w:t>
            </w:r>
            <w:r>
              <w:rPr>
                <w:sz w:val="14"/>
                <w:szCs w:val="20"/>
              </w:rPr>
              <w:t> </w:t>
            </w:r>
            <w:r>
              <w:rPr>
                <w:szCs w:val="20"/>
              </w:rPr>
              <w:t>B. L.</w:t>
            </w:r>
            <w:r>
              <w:rPr>
                <w:sz w:val="14"/>
                <w:szCs w:val="20"/>
              </w:rPr>
              <w:t> </w:t>
            </w:r>
            <w:r>
              <w:rPr>
                <w:szCs w:val="20"/>
              </w:rPr>
              <w:t>21, Z.</w:t>
            </w:r>
            <w:r>
              <w:rPr>
                <w:sz w:val="14"/>
                <w:szCs w:val="20"/>
              </w:rPr>
              <w:t> </w:t>
            </w:r>
            <w:r>
              <w:rPr>
                <w:szCs w:val="20"/>
              </w:rPr>
              <w:t>20</w:t>
            </w:r>
            <w:r>
              <w:rPr>
                <w:sz w:val="14"/>
                <w:szCs w:val="20"/>
              </w:rPr>
              <w:t> </w:t>
            </w:r>
            <w:r>
              <w:rPr>
                <w:szCs w:val="20"/>
              </w:rPr>
              <w:t>f.).</w:t>
            </w:r>
          </w:p>
          <w:p w:rsidR="00EF72B5" w:rsidRDefault="00EF72B5">
            <w:pPr>
              <w:spacing w:before="60"/>
              <w:jc w:val="left"/>
            </w:pPr>
          </w:p>
          <w:p w:rsidR="00EF72B5" w:rsidRDefault="00EF72B5">
            <w:pPr>
              <w:spacing w:before="60"/>
              <w:jc w:val="left"/>
            </w:pPr>
          </w:p>
          <w:p w:rsidR="00EF72B5" w:rsidRDefault="00EF72B5">
            <w:pPr>
              <w:spacing w:before="60"/>
              <w:jc w:val="left"/>
            </w:pPr>
          </w:p>
          <w:p w:rsidR="00EF72B5" w:rsidRDefault="00EF72B5">
            <w:pPr>
              <w:spacing w:before="60"/>
            </w:pPr>
          </w:p>
        </w:tc>
      </w:tr>
    </w:tbl>
    <w:p w:rsidR="00EF72B5" w:rsidRDefault="00EF72B5"/>
    <w:p w:rsidR="00EF72B5" w:rsidRDefault="00A81E1B">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24</w:t>
            </w:r>
            <w:r>
              <w:rPr>
                <w:b/>
                <w:color w:val="3333CC"/>
                <w:szCs w:val="20"/>
              </w:rPr>
              <w:tab/>
              <w:t>Sizilien: Die erste römische Provinz</w:t>
            </w:r>
          </w:p>
          <w:p w:rsidR="00EF72B5" w:rsidRDefault="00A81E1B">
            <w:pPr>
              <w:numPr>
                <w:ilvl w:val="0"/>
                <w:numId w:val="2"/>
              </w:numPr>
              <w:spacing w:before="60"/>
              <w:jc w:val="left"/>
            </w:pPr>
            <w:proofErr w:type="spellStart"/>
            <w:r>
              <w:rPr>
                <w:i/>
                <w:szCs w:val="20"/>
              </w:rPr>
              <w:t>ut</w:t>
            </w:r>
            <w:proofErr w:type="spellEnd"/>
            <w:r>
              <w:rPr>
                <w:szCs w:val="20"/>
              </w:rPr>
              <w:t xml:space="preserve">-Sätze (fin., </w:t>
            </w:r>
            <w:proofErr w:type="spellStart"/>
            <w:proofErr w:type="gramStart"/>
            <w:r>
              <w:rPr>
                <w:szCs w:val="20"/>
              </w:rPr>
              <w:t>konsek</w:t>
            </w:r>
            <w:proofErr w:type="spellEnd"/>
            <w:r>
              <w:rPr>
                <w:szCs w:val="20"/>
              </w:rPr>
              <w:t>.,</w:t>
            </w:r>
            <w:proofErr w:type="gramEnd"/>
            <w:r>
              <w:rPr>
                <w:szCs w:val="20"/>
              </w:rPr>
              <w:t xml:space="preserve"> </w:t>
            </w:r>
            <w:r>
              <w:rPr>
                <w:szCs w:val="20"/>
              </w:rPr>
              <w:br/>
            </w:r>
            <w:proofErr w:type="spellStart"/>
            <w:r>
              <w:rPr>
                <w:szCs w:val="20"/>
              </w:rPr>
              <w:t>abh.</w:t>
            </w:r>
            <w:proofErr w:type="spellEnd"/>
            <w:r>
              <w:rPr>
                <w:szCs w:val="20"/>
              </w:rPr>
              <w:t xml:space="preserve"> Wunsch)</w:t>
            </w:r>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23 neue </w:t>
            </w:r>
            <w:proofErr w:type="spellStart"/>
            <w:r>
              <w:rPr>
                <w:szCs w:val="20"/>
              </w:rPr>
              <w:t>Vok</w:t>
            </w:r>
            <w:proofErr w:type="spellEnd"/>
            <w:r>
              <w:rPr>
                <w:szCs w:val="20"/>
              </w:rPr>
              <w:t>. (insges. 645)</w:t>
            </w:r>
          </w:p>
          <w:p w:rsidR="00EF72B5" w:rsidRDefault="00A81E1B">
            <w:pPr>
              <w:numPr>
                <w:ilvl w:val="0"/>
                <w:numId w:val="2"/>
              </w:numPr>
              <w:spacing w:before="60"/>
              <w:jc w:val="left"/>
              <w:rPr>
                <w:szCs w:val="20"/>
              </w:rPr>
            </w:pPr>
            <w:r>
              <w:rPr>
                <w:szCs w:val="20"/>
              </w:rPr>
              <w:t>trennen in überschaubaren Satzgefügen Haupt- und Nebensätze und benennen die semantische Funktion der Nebensätze fachsprachlich richtig (hier: Konsekutiv- und Finalsätze)</w:t>
            </w:r>
          </w:p>
          <w:p w:rsidR="00EF72B5" w:rsidRDefault="00A81E1B">
            <w:pPr>
              <w:numPr>
                <w:ilvl w:val="0"/>
                <w:numId w:val="2"/>
              </w:numPr>
              <w:spacing w:before="60"/>
              <w:jc w:val="left"/>
              <w:rPr>
                <w:szCs w:val="20"/>
              </w:rPr>
            </w:pPr>
            <w:r>
              <w:rPr>
                <w:szCs w:val="20"/>
              </w:rPr>
              <w:t xml:space="preserve">bestimmen mehrdeutige Konjunktionen (hier: </w:t>
            </w:r>
            <w:proofErr w:type="spellStart"/>
            <w:r>
              <w:rPr>
                <w:i/>
                <w:szCs w:val="20"/>
              </w:rPr>
              <w:t>ut</w:t>
            </w:r>
            <w:proofErr w:type="spellEnd"/>
            <w:r>
              <w:rPr>
                <w:szCs w:val="20"/>
              </w:rPr>
              <w:t>) jeweils aus dem Kontext eindeutig</w:t>
            </w:r>
          </w:p>
          <w:p w:rsidR="00EF72B5" w:rsidRDefault="00A81E1B">
            <w:pPr>
              <w:numPr>
                <w:ilvl w:val="0"/>
                <w:numId w:val="2"/>
              </w:numPr>
              <w:spacing w:before="60"/>
              <w:jc w:val="left"/>
              <w:rPr>
                <w:szCs w:val="20"/>
              </w:rPr>
            </w:pPr>
            <w:r>
              <w:rPr>
                <w:szCs w:val="20"/>
              </w:rPr>
              <w:t xml:space="preserve">wägen verschiedene Formen gedanklicher Verknüpfungen ab und entscheiden begründet (fin., </w:t>
            </w:r>
            <w:proofErr w:type="spellStart"/>
            <w:r>
              <w:rPr>
                <w:szCs w:val="20"/>
              </w:rPr>
              <w:t>konsek</w:t>
            </w:r>
            <w:proofErr w:type="spellEnd"/>
            <w:r>
              <w:rPr>
                <w:szCs w:val="20"/>
              </w:rPr>
              <w:t>.)</w:t>
            </w:r>
          </w:p>
          <w:p w:rsidR="00EF72B5" w:rsidRDefault="00A81E1B">
            <w:pPr>
              <w:numPr>
                <w:ilvl w:val="0"/>
                <w:numId w:val="2"/>
              </w:numPr>
              <w:spacing w:before="60"/>
              <w:jc w:val="left"/>
            </w:pPr>
            <w:r>
              <w:rPr>
                <w:szCs w:val="20"/>
              </w:rPr>
              <w:t>entdecken ihnen bekannte lateinische Wörter im Französischen und Italienische</w:t>
            </w:r>
            <w:r>
              <w:rPr>
                <w:szCs w:val="20"/>
              </w:rPr>
              <w:t>n (Ü 6)</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pPr>
            <w:r>
              <w:rPr>
                <w:szCs w:val="20"/>
              </w:rPr>
              <w:t>arbeiten aufgabenbezogen vorherrschende Textmerkmale heraus (hier: Sachfelder)</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Rom und seine Provinzen</w:t>
            </w:r>
          </w:p>
          <w:p w:rsidR="00EF72B5" w:rsidRDefault="00A81E1B">
            <w:pPr>
              <w:numPr>
                <w:ilvl w:val="0"/>
                <w:numId w:val="2"/>
              </w:numPr>
              <w:spacing w:before="60"/>
              <w:jc w:val="left"/>
              <w:rPr>
                <w:szCs w:val="20"/>
              </w:rPr>
            </w:pPr>
            <w:r>
              <w:rPr>
                <w:szCs w:val="20"/>
              </w:rPr>
              <w:t>Aquädukte</w:t>
            </w:r>
          </w:p>
          <w:p w:rsidR="00EF72B5" w:rsidRDefault="00A81E1B">
            <w:pPr>
              <w:numPr>
                <w:ilvl w:val="0"/>
                <w:numId w:val="2"/>
              </w:numPr>
              <w:spacing w:before="60"/>
              <w:jc w:val="left"/>
              <w:rPr>
                <w:szCs w:val="20"/>
              </w:rPr>
            </w:pPr>
            <w:r>
              <w:rPr>
                <w:szCs w:val="20"/>
              </w:rPr>
              <w:t>Straßensystem</w:t>
            </w:r>
          </w:p>
          <w:p w:rsidR="00EF72B5" w:rsidRDefault="00A81E1B">
            <w:pPr>
              <w:numPr>
                <w:ilvl w:val="0"/>
                <w:numId w:val="2"/>
              </w:numPr>
              <w:spacing w:before="60"/>
              <w:jc w:val="left"/>
              <w:rPr>
                <w:szCs w:val="20"/>
              </w:rPr>
            </w:pPr>
            <w:r>
              <w:rPr>
                <w:szCs w:val="20"/>
              </w:rPr>
              <w:t xml:space="preserve">vergleichen angeleitet Elemente der römischen Gesellschafts- und Lebensstruktur mit </w:t>
            </w:r>
            <w:r>
              <w:rPr>
                <w:szCs w:val="20"/>
              </w:rPr>
              <w:t>denen ihres eigenen Erfahrungs- und Erlebensbereiches (hier: sozialer Stand von Gelehrten und Intellektuellen)</w:t>
            </w:r>
          </w:p>
          <w:p w:rsidR="00EF72B5" w:rsidRDefault="00A81E1B">
            <w:pPr>
              <w:numPr>
                <w:ilvl w:val="0"/>
                <w:numId w:val="2"/>
              </w:numPr>
              <w:spacing w:before="60"/>
              <w:jc w:val="left"/>
              <w:rPr>
                <w:szCs w:val="20"/>
              </w:rPr>
            </w:pPr>
            <w:r>
              <w:rPr>
                <w:szCs w:val="20"/>
              </w:rPr>
              <w:t>erfassen die Einheit von Pragmatik/Funktionalität und Ästhetik als ein Wesensmerkmal römischer Architektur (hier: Aquädukt)</w:t>
            </w:r>
          </w:p>
          <w:p w:rsidR="00EF72B5" w:rsidRDefault="00A81E1B">
            <w:pPr>
              <w:numPr>
                <w:ilvl w:val="0"/>
                <w:numId w:val="2"/>
              </w:numPr>
              <w:spacing w:before="60"/>
              <w:jc w:val="left"/>
              <w:rPr>
                <w:szCs w:val="20"/>
              </w:rPr>
            </w:pPr>
            <w:r>
              <w:rPr>
                <w:szCs w:val="20"/>
              </w:rPr>
              <w:t>zeigen die Romanisier</w:t>
            </w:r>
            <w:r>
              <w:rPr>
                <w:szCs w:val="20"/>
              </w:rPr>
              <w:t xml:space="preserve">ung Europas an Stadtgrundrissen und Kulturdenkmälern (hier: Pont du </w:t>
            </w:r>
            <w:proofErr w:type="spellStart"/>
            <w:r>
              <w:rPr>
                <w:szCs w:val="20"/>
              </w:rPr>
              <w:t>Gard</w:t>
            </w:r>
            <w:proofErr w:type="spellEnd"/>
            <w:r>
              <w:rPr>
                <w:szCs w:val="20"/>
              </w:rPr>
              <w:t>) auf</w:t>
            </w:r>
          </w:p>
          <w:p w:rsidR="00EF72B5" w:rsidRDefault="00A81E1B">
            <w:pPr>
              <w:numPr>
                <w:ilvl w:val="0"/>
                <w:numId w:val="2"/>
              </w:numPr>
              <w:spacing w:before="60"/>
              <w:jc w:val="left"/>
              <w:rPr>
                <w:szCs w:val="20"/>
              </w:rPr>
            </w:pPr>
            <w:r>
              <w:rPr>
                <w:color w:val="008000"/>
                <w:szCs w:val="20"/>
              </w:rPr>
              <w:t>Kern- und Fachbegriffe:</w:t>
            </w:r>
          </w:p>
          <w:p w:rsidR="00EF72B5" w:rsidRDefault="00A81E1B">
            <w:pPr>
              <w:numPr>
                <w:ilvl w:val="0"/>
                <w:numId w:val="1"/>
              </w:numPr>
              <w:ind w:left="340" w:hanging="170"/>
              <w:jc w:val="left"/>
              <w:rPr>
                <w:szCs w:val="20"/>
              </w:rPr>
            </w:pPr>
            <w:r>
              <w:rPr>
                <w:szCs w:val="20"/>
              </w:rPr>
              <w:t>Provinz</w:t>
            </w:r>
          </w:p>
          <w:p w:rsidR="00EF72B5" w:rsidRDefault="00A81E1B">
            <w:pPr>
              <w:numPr>
                <w:ilvl w:val="0"/>
                <w:numId w:val="1"/>
              </w:numPr>
              <w:ind w:left="340" w:hanging="170"/>
              <w:jc w:val="left"/>
              <w:rPr>
                <w:szCs w:val="20"/>
              </w:rPr>
            </w:pPr>
            <w:r>
              <w:rPr>
                <w:szCs w:val="20"/>
              </w:rPr>
              <w:t>Romanisierung</w:t>
            </w:r>
          </w:p>
          <w:p w:rsidR="00EF72B5" w:rsidRDefault="00A81E1B">
            <w:pPr>
              <w:numPr>
                <w:ilvl w:val="0"/>
                <w:numId w:val="1"/>
              </w:numPr>
              <w:ind w:left="340" w:hanging="170"/>
              <w:jc w:val="left"/>
              <w:rPr>
                <w:szCs w:val="20"/>
              </w:rPr>
            </w:pPr>
            <w:proofErr w:type="spellStart"/>
            <w:r>
              <w:rPr>
                <w:i/>
                <w:szCs w:val="20"/>
              </w:rPr>
              <w:t>humanitas</w:t>
            </w:r>
            <w:proofErr w:type="spellEnd"/>
            <w:r>
              <w:rPr>
                <w:i/>
                <w:szCs w:val="20"/>
              </w:rPr>
              <w:t xml:space="preserve"> </w:t>
            </w:r>
            <w:r>
              <w:rPr>
                <w:szCs w:val="20"/>
              </w:rPr>
              <w:t>(</w:t>
            </w:r>
            <w:r>
              <w:t>S.</w:t>
            </w:r>
            <w:r>
              <w:rPr>
                <w:sz w:val="14"/>
              </w:rPr>
              <w:t> </w:t>
            </w:r>
            <w:r>
              <w:rPr>
                <w:szCs w:val="20"/>
              </w:rPr>
              <w:t>87)</w:t>
            </w:r>
          </w:p>
          <w:p w:rsidR="00EF72B5" w:rsidRDefault="00A81E1B">
            <w:pPr>
              <w:numPr>
                <w:ilvl w:val="0"/>
                <w:numId w:val="1"/>
              </w:numPr>
              <w:ind w:left="340" w:hanging="170"/>
              <w:jc w:val="left"/>
              <w:rPr>
                <w:szCs w:val="20"/>
              </w:rPr>
            </w:pPr>
            <w:r>
              <w:rPr>
                <w:szCs w:val="20"/>
              </w:rPr>
              <w:t>Statthalter (+)</w:t>
            </w:r>
          </w:p>
          <w:p w:rsidR="00EF72B5" w:rsidRDefault="00A81E1B">
            <w:pPr>
              <w:numPr>
                <w:ilvl w:val="0"/>
                <w:numId w:val="1"/>
              </w:numPr>
              <w:ind w:left="340" w:hanging="170"/>
              <w:jc w:val="left"/>
            </w:pPr>
            <w:r>
              <w:rPr>
                <w:szCs w:val="20"/>
              </w:rPr>
              <w:t>Steuerpächter (+)</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Anmerkungen/Sonstiges</w:t>
            </w:r>
          </w:p>
          <w:p w:rsidR="00EF72B5" w:rsidRDefault="00EF72B5">
            <w:pPr>
              <w:spacing w:before="60"/>
              <w:jc w:val="left"/>
              <w:rPr>
                <w:szCs w:val="20"/>
              </w:rPr>
            </w:pPr>
          </w:p>
          <w:p w:rsidR="00EF72B5" w:rsidRDefault="00EF72B5">
            <w:pPr>
              <w:spacing w:before="60"/>
              <w:jc w:val="left"/>
              <w:rPr>
                <w:szCs w:val="20"/>
              </w:rPr>
            </w:pPr>
          </w:p>
          <w:p w:rsidR="00EF72B5" w:rsidRDefault="00EF72B5">
            <w:pPr>
              <w:spacing w:before="60"/>
              <w:jc w:val="left"/>
              <w:rPr>
                <w:szCs w:val="20"/>
              </w:rPr>
            </w:pPr>
          </w:p>
          <w:p w:rsidR="00EF72B5" w:rsidRDefault="00EF72B5">
            <w:pPr>
              <w:spacing w:before="60"/>
              <w:jc w:val="left"/>
            </w:pPr>
          </w:p>
        </w:tc>
      </w:tr>
    </w:tbl>
    <w:p w:rsidR="00EF72B5" w:rsidRDefault="00EF72B5"/>
    <w:p w:rsidR="00EF72B5" w:rsidRDefault="00A81E1B">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rsidR="00EF72B5">
        <w:tc>
          <w:tcPr>
            <w:tcW w:w="2098" w:type="dxa"/>
            <w:vMerge w:val="restart"/>
            <w:tcMar>
              <w:top w:w="57" w:type="dxa"/>
              <w:bottom w:w="57" w:type="dxa"/>
            </w:tcMar>
          </w:tcPr>
          <w:p w:rsidR="00EF72B5" w:rsidRDefault="00A81E1B">
            <w:pPr>
              <w:ind w:left="272" w:hanging="272"/>
              <w:jc w:val="left"/>
              <w:rPr>
                <w:b/>
                <w:color w:val="3333CC"/>
                <w:szCs w:val="20"/>
              </w:rPr>
            </w:pPr>
            <w:r>
              <w:rPr>
                <w:b/>
                <w:color w:val="3333CC"/>
                <w:szCs w:val="20"/>
              </w:rPr>
              <w:lastRenderedPageBreak/>
              <w:t>25</w:t>
            </w:r>
            <w:r>
              <w:rPr>
                <w:b/>
                <w:color w:val="3333CC"/>
                <w:szCs w:val="20"/>
              </w:rPr>
              <w:tab/>
              <w:t>Die Römer in Germanien</w:t>
            </w:r>
          </w:p>
          <w:p w:rsidR="00EF72B5" w:rsidRDefault="00A81E1B">
            <w:pPr>
              <w:numPr>
                <w:ilvl w:val="0"/>
                <w:numId w:val="2"/>
              </w:numPr>
              <w:spacing w:before="60"/>
              <w:jc w:val="left"/>
              <w:rPr>
                <w:szCs w:val="20"/>
              </w:rPr>
            </w:pPr>
            <w:r>
              <w:rPr>
                <w:i/>
                <w:szCs w:val="20"/>
              </w:rPr>
              <w:t>cum</w:t>
            </w:r>
            <w:r>
              <w:rPr>
                <w:szCs w:val="20"/>
              </w:rPr>
              <w:t>-Sätze (</w:t>
            </w:r>
            <w:proofErr w:type="spellStart"/>
            <w:r>
              <w:rPr>
                <w:szCs w:val="20"/>
              </w:rPr>
              <w:t>temp</w:t>
            </w:r>
            <w:proofErr w:type="spellEnd"/>
            <w:r>
              <w:rPr>
                <w:szCs w:val="20"/>
              </w:rPr>
              <w:t xml:space="preserve">., </w:t>
            </w:r>
            <w:proofErr w:type="spellStart"/>
            <w:r>
              <w:rPr>
                <w:szCs w:val="20"/>
              </w:rPr>
              <w:t>kaus</w:t>
            </w:r>
            <w:proofErr w:type="spellEnd"/>
            <w:r>
              <w:rPr>
                <w:szCs w:val="20"/>
              </w:rPr>
              <w:t xml:space="preserve">., </w:t>
            </w:r>
            <w:proofErr w:type="spellStart"/>
            <w:r>
              <w:rPr>
                <w:szCs w:val="20"/>
              </w:rPr>
              <w:t>konz</w:t>
            </w:r>
            <w:proofErr w:type="spellEnd"/>
            <w:r>
              <w:rPr>
                <w:szCs w:val="20"/>
              </w:rPr>
              <w:t>.)</w:t>
            </w:r>
          </w:p>
          <w:p w:rsidR="00EF72B5" w:rsidRDefault="00A81E1B">
            <w:pPr>
              <w:numPr>
                <w:ilvl w:val="0"/>
                <w:numId w:val="2"/>
              </w:numPr>
              <w:spacing w:before="60"/>
              <w:jc w:val="left"/>
            </w:pPr>
            <w:r>
              <w:rPr>
                <w:szCs w:val="20"/>
              </w:rPr>
              <w:t>u-</w:t>
            </w:r>
            <w:proofErr w:type="spellStart"/>
            <w:r>
              <w:rPr>
                <w:szCs w:val="20"/>
              </w:rPr>
              <w:t>Dekl</w:t>
            </w:r>
            <w:proofErr w:type="spellEnd"/>
            <w:r>
              <w:rPr>
                <w:szCs w:val="20"/>
              </w:rPr>
              <w:t>.</w:t>
            </w:r>
          </w:p>
        </w:tc>
        <w:tc>
          <w:tcPr>
            <w:tcW w:w="6974" w:type="dxa"/>
            <w:tcMar>
              <w:top w:w="57" w:type="dxa"/>
              <w:bottom w:w="57" w:type="dxa"/>
            </w:tcMar>
          </w:tcPr>
          <w:p w:rsidR="00EF72B5" w:rsidRDefault="00A81E1B">
            <w:pPr>
              <w:jc w:val="left"/>
              <w:rPr>
                <w:b/>
                <w:color w:val="FF0066"/>
              </w:rPr>
            </w:pPr>
            <w:r>
              <w:rPr>
                <w:b/>
                <w:color w:val="CC0066"/>
              </w:rPr>
              <w:t>Sprachkompetenz</w:t>
            </w:r>
          </w:p>
          <w:p w:rsidR="00EF72B5" w:rsidRDefault="00A81E1B">
            <w:pPr>
              <w:numPr>
                <w:ilvl w:val="0"/>
                <w:numId w:val="2"/>
              </w:numPr>
              <w:spacing w:before="60"/>
              <w:jc w:val="left"/>
              <w:rPr>
                <w:szCs w:val="20"/>
              </w:rPr>
            </w:pPr>
            <w:r>
              <w:rPr>
                <w:szCs w:val="20"/>
              </w:rPr>
              <w:t xml:space="preserve">31 neue </w:t>
            </w:r>
            <w:proofErr w:type="spellStart"/>
            <w:r>
              <w:rPr>
                <w:szCs w:val="20"/>
              </w:rPr>
              <w:t>Vok</w:t>
            </w:r>
            <w:proofErr w:type="spellEnd"/>
            <w:r>
              <w:rPr>
                <w:szCs w:val="20"/>
              </w:rPr>
              <w:t>. (insges. 676)</w:t>
            </w:r>
          </w:p>
          <w:p w:rsidR="00EF72B5" w:rsidRDefault="00A81E1B">
            <w:pPr>
              <w:numPr>
                <w:ilvl w:val="0"/>
                <w:numId w:val="2"/>
              </w:numPr>
              <w:spacing w:before="60"/>
              <w:jc w:val="left"/>
              <w:rPr>
                <w:szCs w:val="20"/>
              </w:rPr>
            </w:pPr>
            <w:r>
              <w:rPr>
                <w:szCs w:val="20"/>
              </w:rPr>
              <w:t>geben die Paradigmen wieder:</w:t>
            </w:r>
          </w:p>
          <w:p w:rsidR="00EF72B5" w:rsidRDefault="00A81E1B">
            <w:pPr>
              <w:numPr>
                <w:ilvl w:val="0"/>
                <w:numId w:val="1"/>
              </w:numPr>
              <w:ind w:left="340" w:hanging="170"/>
              <w:jc w:val="left"/>
              <w:rPr>
                <w:szCs w:val="20"/>
              </w:rPr>
            </w:pPr>
            <w:r>
              <w:rPr>
                <w:szCs w:val="20"/>
              </w:rPr>
              <w:t xml:space="preserve">der Substantive der 4. </w:t>
            </w:r>
            <w:proofErr w:type="spellStart"/>
            <w:r>
              <w:rPr>
                <w:szCs w:val="20"/>
              </w:rPr>
              <w:t>Dekl</w:t>
            </w:r>
            <w:proofErr w:type="spellEnd"/>
            <w:r>
              <w:rPr>
                <w:szCs w:val="20"/>
              </w:rPr>
              <w:t>.</w:t>
            </w:r>
          </w:p>
          <w:p w:rsidR="00EF72B5" w:rsidRDefault="00A81E1B">
            <w:pPr>
              <w:numPr>
                <w:ilvl w:val="0"/>
                <w:numId w:val="2"/>
              </w:numPr>
              <w:spacing w:before="60"/>
              <w:jc w:val="left"/>
              <w:rPr>
                <w:szCs w:val="20"/>
              </w:rPr>
            </w:pPr>
            <w:r>
              <w:rPr>
                <w:szCs w:val="20"/>
              </w:rPr>
              <w:t xml:space="preserve">trennen in überschaubaren Satzgefügen Haupt- und Nebensätze und benennen die semantische Funktion der Nebensätze fachsprachlich richtig </w:t>
            </w:r>
            <w:r>
              <w:rPr>
                <w:szCs w:val="20"/>
              </w:rPr>
              <w:t>(hier: Temporal-, Kausal- und Konzessivsätze)</w:t>
            </w:r>
          </w:p>
          <w:p w:rsidR="00EF72B5" w:rsidRDefault="00A81E1B">
            <w:pPr>
              <w:numPr>
                <w:ilvl w:val="0"/>
                <w:numId w:val="2"/>
              </w:numPr>
              <w:spacing w:before="60"/>
              <w:jc w:val="left"/>
            </w:pPr>
            <w:r>
              <w:rPr>
                <w:szCs w:val="20"/>
              </w:rPr>
              <w:t xml:space="preserve">bestimmen mehrdeutige Konjunktionen (hier: </w:t>
            </w:r>
            <w:r>
              <w:rPr>
                <w:i/>
                <w:szCs w:val="20"/>
              </w:rPr>
              <w:t>cum</w:t>
            </w:r>
            <w:r>
              <w:rPr>
                <w:szCs w:val="20"/>
              </w:rPr>
              <w:t>) jeweils aus dem Kontext eindeutig</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Textkompetenz</w:t>
            </w:r>
          </w:p>
          <w:p w:rsidR="00EF72B5" w:rsidRDefault="00A81E1B">
            <w:pPr>
              <w:numPr>
                <w:ilvl w:val="0"/>
                <w:numId w:val="2"/>
              </w:numPr>
              <w:spacing w:before="60"/>
              <w:jc w:val="left"/>
            </w:pPr>
            <w:r>
              <w:t xml:space="preserve">analysieren einen Textabschnitt oder den Gesamttext unter einer übergeordneten Fragestellung (hier: Arminius’ </w:t>
            </w:r>
            <w:r>
              <w:t>Strategie)</w:t>
            </w:r>
          </w:p>
          <w:p w:rsidR="00EF72B5" w:rsidRDefault="00A81E1B">
            <w:pPr>
              <w:numPr>
                <w:ilvl w:val="0"/>
                <w:numId w:val="2"/>
              </w:numPr>
              <w:spacing w:before="60"/>
              <w:jc w:val="left"/>
            </w:pPr>
            <w:r>
              <w:rPr>
                <w:szCs w:val="20"/>
              </w:rPr>
              <w:t xml:space="preserve">prüfen die Übersetzbarkeit lateinischer Wendungen (hier: Komposita von </w:t>
            </w:r>
            <w:r>
              <w:rPr>
                <w:i/>
                <w:szCs w:val="20"/>
              </w:rPr>
              <w:t>esse</w:t>
            </w:r>
            <w:r>
              <w:rPr>
                <w:szCs w:val="20"/>
              </w:rPr>
              <w:t xml:space="preserve"> mit Dativ)</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Kulturkompetenz</w:t>
            </w:r>
          </w:p>
          <w:p w:rsidR="00EF72B5" w:rsidRDefault="00A81E1B">
            <w:pPr>
              <w:numPr>
                <w:ilvl w:val="0"/>
                <w:numId w:val="2"/>
              </w:numPr>
              <w:spacing w:before="60"/>
              <w:jc w:val="left"/>
              <w:rPr>
                <w:szCs w:val="20"/>
              </w:rPr>
            </w:pPr>
            <w:r>
              <w:rPr>
                <w:szCs w:val="20"/>
              </w:rPr>
              <w:t>Leben in der Provinz (Germania Romana, Limes)</w:t>
            </w:r>
          </w:p>
          <w:p w:rsidR="00EF72B5" w:rsidRDefault="00A81E1B">
            <w:pPr>
              <w:numPr>
                <w:ilvl w:val="0"/>
                <w:numId w:val="2"/>
              </w:numPr>
              <w:spacing w:before="60"/>
              <w:jc w:val="left"/>
              <w:rPr>
                <w:szCs w:val="20"/>
              </w:rPr>
            </w:pPr>
            <w:r>
              <w:rPr>
                <w:szCs w:val="20"/>
              </w:rPr>
              <w:br w:type="page"/>
              <w:t>Versorgung und Wirtschaft</w:t>
            </w:r>
          </w:p>
          <w:p w:rsidR="00EF72B5" w:rsidRDefault="00A81E1B">
            <w:pPr>
              <w:numPr>
                <w:ilvl w:val="0"/>
                <w:numId w:val="2"/>
              </w:numPr>
              <w:spacing w:before="60"/>
              <w:jc w:val="left"/>
              <w:rPr>
                <w:szCs w:val="20"/>
              </w:rPr>
            </w:pPr>
            <w:r>
              <w:rPr>
                <w:szCs w:val="20"/>
              </w:rPr>
              <w:t>Gründung einer römischen Stadt</w:t>
            </w:r>
          </w:p>
          <w:p w:rsidR="00EF72B5" w:rsidRDefault="00A81E1B">
            <w:pPr>
              <w:numPr>
                <w:ilvl w:val="0"/>
                <w:numId w:val="2"/>
              </w:numPr>
              <w:spacing w:before="60"/>
              <w:jc w:val="left"/>
              <w:rPr>
                <w:szCs w:val="20"/>
              </w:rPr>
            </w:pPr>
            <w:r>
              <w:rPr>
                <w:szCs w:val="20"/>
              </w:rPr>
              <w:t xml:space="preserve">zeigen die Romanisierung Europas an </w:t>
            </w:r>
            <w:r>
              <w:rPr>
                <w:szCs w:val="20"/>
              </w:rPr>
              <w:t>Stadtgrundrissen und Kulturdenkmälern (hier: Trier) auf</w:t>
            </w:r>
          </w:p>
          <w:p w:rsidR="00EF72B5" w:rsidRDefault="00A81E1B">
            <w:pPr>
              <w:numPr>
                <w:ilvl w:val="0"/>
                <w:numId w:val="2"/>
              </w:numPr>
              <w:spacing w:before="60"/>
              <w:jc w:val="left"/>
              <w:rPr>
                <w:szCs w:val="20"/>
              </w:rPr>
            </w:pPr>
            <w:r>
              <w:rPr>
                <w:szCs w:val="20"/>
              </w:rPr>
              <w:t>zeigen an Bauformen (hier: Amphitheater in Xanten) Kontinuität und Veränderungen ihrer Funktion auf</w:t>
            </w:r>
          </w:p>
          <w:p w:rsidR="00EF72B5" w:rsidRDefault="00A81E1B">
            <w:pPr>
              <w:numPr>
                <w:ilvl w:val="0"/>
                <w:numId w:val="2"/>
              </w:numPr>
              <w:spacing w:before="60"/>
              <w:jc w:val="left"/>
              <w:rPr>
                <w:szCs w:val="20"/>
              </w:rPr>
            </w:pPr>
            <w:r>
              <w:rPr>
                <w:color w:val="008000"/>
                <w:szCs w:val="20"/>
              </w:rPr>
              <w:t>Kern- und Fachbegriffe:</w:t>
            </w:r>
          </w:p>
          <w:p w:rsidR="00EF72B5" w:rsidRDefault="00A81E1B">
            <w:pPr>
              <w:numPr>
                <w:ilvl w:val="0"/>
                <w:numId w:val="1"/>
              </w:numPr>
              <w:ind w:left="340" w:hanging="170"/>
              <w:jc w:val="left"/>
              <w:rPr>
                <w:szCs w:val="20"/>
              </w:rPr>
            </w:pPr>
            <w:r>
              <w:rPr>
                <w:szCs w:val="20"/>
              </w:rPr>
              <w:t>Romanisierung</w:t>
            </w:r>
          </w:p>
          <w:p w:rsidR="00EF72B5" w:rsidRDefault="00A81E1B">
            <w:pPr>
              <w:numPr>
                <w:ilvl w:val="0"/>
                <w:numId w:val="1"/>
              </w:numPr>
              <w:ind w:left="340" w:hanging="170"/>
              <w:jc w:val="left"/>
              <w:rPr>
                <w:i/>
                <w:szCs w:val="20"/>
              </w:rPr>
            </w:pPr>
            <w:r>
              <w:rPr>
                <w:szCs w:val="20"/>
              </w:rPr>
              <w:t>Limes</w:t>
            </w:r>
          </w:p>
          <w:p w:rsidR="00EF72B5" w:rsidRDefault="00A81E1B">
            <w:pPr>
              <w:numPr>
                <w:ilvl w:val="0"/>
                <w:numId w:val="1"/>
              </w:numPr>
              <w:ind w:left="340" w:hanging="170"/>
              <w:jc w:val="left"/>
              <w:rPr>
                <w:szCs w:val="20"/>
              </w:rPr>
            </w:pPr>
            <w:proofErr w:type="spellStart"/>
            <w:r>
              <w:rPr>
                <w:i/>
                <w:szCs w:val="20"/>
              </w:rPr>
              <w:t>castra</w:t>
            </w:r>
            <w:proofErr w:type="spellEnd"/>
            <w:r>
              <w:rPr>
                <w:szCs w:val="20"/>
              </w:rPr>
              <w:t xml:space="preserve"> (+)</w:t>
            </w:r>
          </w:p>
          <w:p w:rsidR="00EF72B5" w:rsidRDefault="00A81E1B">
            <w:pPr>
              <w:numPr>
                <w:ilvl w:val="0"/>
                <w:numId w:val="1"/>
              </w:numPr>
              <w:ind w:left="340" w:hanging="170"/>
              <w:jc w:val="left"/>
              <w:rPr>
                <w:szCs w:val="20"/>
              </w:rPr>
            </w:pPr>
            <w:proofErr w:type="spellStart"/>
            <w:r>
              <w:rPr>
                <w:i/>
                <w:szCs w:val="20"/>
              </w:rPr>
              <w:t>castellum</w:t>
            </w:r>
            <w:proofErr w:type="spellEnd"/>
            <w:r>
              <w:rPr>
                <w:szCs w:val="20"/>
              </w:rPr>
              <w:t xml:space="preserve"> (+)</w:t>
            </w:r>
          </w:p>
          <w:p w:rsidR="00EF72B5" w:rsidRDefault="00A81E1B">
            <w:pPr>
              <w:numPr>
                <w:ilvl w:val="0"/>
                <w:numId w:val="1"/>
              </w:numPr>
              <w:ind w:left="340" w:hanging="170"/>
              <w:jc w:val="left"/>
            </w:pPr>
            <w:proofErr w:type="spellStart"/>
            <w:r>
              <w:rPr>
                <w:i/>
                <w:szCs w:val="20"/>
              </w:rPr>
              <w:t>vicus</w:t>
            </w:r>
            <w:proofErr w:type="spellEnd"/>
            <w:r>
              <w:rPr>
                <w:i/>
                <w:szCs w:val="20"/>
              </w:rPr>
              <w:t xml:space="preserve"> </w:t>
            </w:r>
            <w:r>
              <w:rPr>
                <w:szCs w:val="20"/>
              </w:rPr>
              <w:t>(+)</w:t>
            </w:r>
          </w:p>
        </w:tc>
      </w:tr>
      <w:tr w:rsidR="00EF72B5">
        <w:tc>
          <w:tcPr>
            <w:tcW w:w="2098" w:type="dxa"/>
            <w:vMerge/>
            <w:tcMar>
              <w:top w:w="57" w:type="dxa"/>
              <w:bottom w:w="57" w:type="dxa"/>
            </w:tcMar>
          </w:tcPr>
          <w:p w:rsidR="00EF72B5" w:rsidRDefault="00EF72B5">
            <w:pPr>
              <w:jc w:val="left"/>
            </w:pPr>
          </w:p>
        </w:tc>
        <w:tc>
          <w:tcPr>
            <w:tcW w:w="6974" w:type="dxa"/>
            <w:tcMar>
              <w:top w:w="57" w:type="dxa"/>
              <w:bottom w:w="57" w:type="dxa"/>
            </w:tcMar>
          </w:tcPr>
          <w:p w:rsidR="00EF72B5" w:rsidRDefault="00A81E1B">
            <w:pPr>
              <w:jc w:val="left"/>
              <w:rPr>
                <w:b/>
                <w:color w:val="FF0066"/>
              </w:rPr>
            </w:pPr>
            <w:r>
              <w:rPr>
                <w:b/>
                <w:color w:val="CC0066"/>
              </w:rPr>
              <w:t>Anmerkungen/Sonstiges</w:t>
            </w:r>
          </w:p>
          <w:p w:rsidR="00EF72B5" w:rsidRDefault="00EF72B5">
            <w:pPr>
              <w:spacing w:before="60"/>
              <w:jc w:val="left"/>
              <w:rPr>
                <w:szCs w:val="20"/>
              </w:rPr>
            </w:pPr>
          </w:p>
          <w:p w:rsidR="00EF72B5" w:rsidRDefault="00EF72B5">
            <w:pPr>
              <w:spacing w:before="60"/>
              <w:jc w:val="left"/>
              <w:rPr>
                <w:szCs w:val="20"/>
              </w:rPr>
            </w:pPr>
          </w:p>
          <w:p w:rsidR="00EF72B5" w:rsidRDefault="00EF72B5">
            <w:pPr>
              <w:spacing w:before="60"/>
              <w:jc w:val="left"/>
              <w:rPr>
                <w:szCs w:val="20"/>
              </w:rPr>
            </w:pPr>
          </w:p>
          <w:p w:rsidR="00EF72B5" w:rsidRDefault="00EF72B5">
            <w:pPr>
              <w:spacing w:before="60"/>
              <w:jc w:val="left"/>
              <w:rPr>
                <w:szCs w:val="20"/>
              </w:rPr>
            </w:pPr>
          </w:p>
        </w:tc>
      </w:tr>
    </w:tbl>
    <w:p w:rsidR="00EF72B5" w:rsidRDefault="00EF72B5">
      <w:pPr>
        <w:spacing w:after="120" w:line="240" w:lineRule="auto"/>
      </w:pPr>
    </w:p>
    <w:sectPr w:rsidR="00EF72B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985" w:left="141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B5" w:rsidRDefault="00A81E1B">
      <w:pPr>
        <w:spacing w:line="240" w:lineRule="auto"/>
      </w:pPr>
      <w:r>
        <w:separator/>
      </w:r>
    </w:p>
  </w:endnote>
  <w:endnote w:type="continuationSeparator" w:id="0">
    <w:p w:rsidR="00EF72B5" w:rsidRDefault="00A81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2000600050000020004"/>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1B" w:rsidRDefault="00A81E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top w:val="single" w:sz="4" w:space="0" w:color="000080"/>
      </w:tblBorders>
      <w:tblLayout w:type="fixed"/>
      <w:tblCellMar>
        <w:left w:w="0" w:type="dxa"/>
        <w:right w:w="0" w:type="dxa"/>
      </w:tblCellMar>
      <w:tblLook w:val="0000" w:firstRow="0" w:lastRow="0" w:firstColumn="0" w:lastColumn="0" w:noHBand="0" w:noVBand="0"/>
    </w:tblPr>
    <w:tblGrid>
      <w:gridCol w:w="1077"/>
      <w:gridCol w:w="7711"/>
      <w:gridCol w:w="284"/>
    </w:tblGrid>
    <w:tr w:rsidR="00EF72B5">
      <w:trPr>
        <w:trHeight w:val="430"/>
      </w:trPr>
      <w:tc>
        <w:tcPr>
          <w:tcW w:w="1077" w:type="dxa"/>
        </w:tcPr>
        <w:p w:rsidR="00EF72B5" w:rsidRDefault="00A81E1B">
          <w:pPr>
            <w:spacing w:before="20" w:line="240" w:lineRule="auto"/>
            <w:rPr>
              <w:sz w:val="14"/>
              <w:szCs w:val="14"/>
            </w:rPr>
          </w:pPr>
          <w:r>
            <w:rPr>
              <w:noProof/>
              <w:sz w:val="14"/>
              <w:szCs w:val="14"/>
            </w:rPr>
            <w:drawing>
              <wp:inline distT="0" distB="0" distL="0" distR="0">
                <wp:extent cx="647642" cy="317840"/>
                <wp:effectExtent l="0" t="0" r="63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0px-Klett.jpg"/>
                        <pic:cNvPicPr/>
                      </pic:nvPicPr>
                      <pic:blipFill rotWithShape="1">
                        <a:blip r:embed="rId1">
                          <a:extLst>
                            <a:ext uri="{28A0092B-C50C-407E-A947-70E740481C1C}">
                              <a14:useLocalDpi xmlns:a14="http://schemas.microsoft.com/office/drawing/2010/main" val="0"/>
                            </a:ext>
                          </a:extLst>
                        </a:blip>
                        <a:srcRect t="4856" b="4949"/>
                        <a:stretch/>
                      </pic:blipFill>
                      <pic:spPr bwMode="auto">
                        <a:xfrm>
                          <a:off x="0" y="0"/>
                          <a:ext cx="647700" cy="317868"/>
                        </a:xfrm>
                        <a:prstGeom prst="rect">
                          <a:avLst/>
                        </a:prstGeom>
                        <a:ln>
                          <a:noFill/>
                        </a:ln>
                        <a:extLst>
                          <a:ext uri="{53640926-AAD7-44D8-BBD7-CCE9431645EC}">
                            <a14:shadowObscured xmlns:a14="http://schemas.microsoft.com/office/drawing/2010/main"/>
                          </a:ext>
                        </a:extLst>
                      </pic:spPr>
                    </pic:pic>
                  </a:graphicData>
                </a:graphic>
              </wp:inline>
            </w:drawing>
          </w:r>
        </w:p>
      </w:tc>
      <w:tc>
        <w:tcPr>
          <w:tcW w:w="7711" w:type="dxa"/>
          <w:vAlign w:val="center"/>
        </w:tcPr>
        <w:p w:rsidR="00EF72B5" w:rsidRDefault="00A81E1B">
          <w:pPr>
            <w:spacing w:line="240" w:lineRule="auto"/>
            <w:ind w:left="114"/>
            <w:jc w:val="center"/>
            <w:rPr>
              <w:sz w:val="14"/>
              <w:szCs w:val="14"/>
            </w:rPr>
          </w:pPr>
          <w:r>
            <w:rPr>
              <w:sz w:val="14"/>
              <w:szCs w:val="14"/>
            </w:rPr>
            <w:t xml:space="preserve">Autor: Dr. Matthias Hengelbrock | © Ernst Klett Verlag GmbH, Stuttgart 2015 | www.klett.de | Alle Rechte vorbehalten. </w:t>
          </w:r>
          <w:r>
            <w:rPr>
              <w:sz w:val="14"/>
              <w:szCs w:val="14"/>
            </w:rPr>
            <w:br/>
            <w:t xml:space="preserve">Von dieser Druckvorlage ist die </w:t>
          </w:r>
          <w:r>
            <w:rPr>
              <w:sz w:val="14"/>
              <w:szCs w:val="14"/>
            </w:rPr>
            <w:t>Vervielfältigung für den eigenen Unterrichtsgebrauch gestattet. Die Kopiergebühren sind abgegolten.</w:t>
          </w:r>
        </w:p>
      </w:tc>
      <w:tc>
        <w:tcPr>
          <w:tcW w:w="284" w:type="dxa"/>
          <w:vAlign w:val="center"/>
        </w:tcPr>
        <w:p w:rsidR="00EF72B5" w:rsidRDefault="00A81E1B">
          <w:pPr>
            <w:spacing w:before="120" w:line="240" w:lineRule="auto"/>
            <w:jc w:val="right"/>
            <w:rPr>
              <w:rFonts w:eastAsiaTheme="majorEastAsia"/>
              <w:sz w:val="14"/>
              <w:szCs w:val="14"/>
            </w:rPr>
          </w:pPr>
          <w:r>
            <w:rPr>
              <w:rFonts w:eastAsiaTheme="majorEastAsia"/>
              <w:szCs w:val="14"/>
            </w:rPr>
            <w:fldChar w:fldCharType="begin"/>
          </w:r>
          <w:r>
            <w:rPr>
              <w:rFonts w:eastAsiaTheme="majorEastAsia"/>
              <w:szCs w:val="14"/>
            </w:rPr>
            <w:instrText xml:space="preserve"> PAGE </w:instrText>
          </w:r>
          <w:r>
            <w:rPr>
              <w:rFonts w:eastAsiaTheme="majorEastAsia"/>
              <w:szCs w:val="14"/>
            </w:rPr>
            <w:fldChar w:fldCharType="separate"/>
          </w:r>
          <w:r>
            <w:rPr>
              <w:rFonts w:eastAsiaTheme="majorEastAsia"/>
              <w:noProof/>
              <w:szCs w:val="14"/>
            </w:rPr>
            <w:t>2</w:t>
          </w:r>
          <w:r>
            <w:rPr>
              <w:rFonts w:eastAsiaTheme="majorEastAsia"/>
              <w:szCs w:val="14"/>
            </w:rPr>
            <w:fldChar w:fldCharType="end"/>
          </w:r>
        </w:p>
      </w:tc>
    </w:tr>
  </w:tbl>
  <w:p w:rsidR="00EF72B5" w:rsidRDefault="00EF72B5">
    <w:pPr>
      <w:spacing w:line="240" w:lineRule="auto"/>
      <w:rPr>
        <w:rFonts w:eastAsia="Minion Pro"/>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top w:val="single" w:sz="4" w:space="0" w:color="002060"/>
      </w:tblBorders>
      <w:tblLayout w:type="fixed"/>
      <w:tblCellMar>
        <w:left w:w="0" w:type="dxa"/>
        <w:right w:w="0" w:type="dxa"/>
      </w:tblCellMar>
      <w:tblLook w:val="0000" w:firstRow="0" w:lastRow="0" w:firstColumn="0" w:lastColumn="0" w:noHBand="0" w:noVBand="0"/>
    </w:tblPr>
    <w:tblGrid>
      <w:gridCol w:w="1071"/>
      <w:gridCol w:w="7719"/>
      <w:gridCol w:w="282"/>
    </w:tblGrid>
    <w:tr w:rsidR="00EF72B5">
      <w:trPr>
        <w:trHeight w:val="430"/>
      </w:trPr>
      <w:tc>
        <w:tcPr>
          <w:tcW w:w="1077" w:type="dxa"/>
        </w:tcPr>
        <w:p w:rsidR="00EF72B5" w:rsidRPr="00A81E1B" w:rsidRDefault="00A81E1B">
          <w:pPr>
            <w:spacing w:before="20" w:line="240" w:lineRule="auto"/>
          </w:pPr>
          <w:r w:rsidRPr="00A81E1B">
            <w:drawing>
              <wp:inline distT="0" distB="0" distL="0" distR="0" wp14:anchorId="7DABF981" wp14:editId="498FC8CB">
                <wp:extent cx="633497" cy="317868"/>
                <wp:effectExtent l="19050" t="19050" r="14605" b="254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0px-Klett.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3497" cy="317868"/>
                        </a:xfrm>
                        <a:prstGeom prst="rect">
                          <a:avLst/>
                        </a:prstGeom>
                        <a:ln w="0" cmpd="sng">
                          <a:solidFill>
                            <a:schemeClr val="tx1"/>
                          </a:solidFill>
                        </a:ln>
                        <a:extLst>
                          <a:ext uri="{53640926-AAD7-44D8-BBD7-CCE9431645EC}">
                            <a14:shadowObscured xmlns:a14="http://schemas.microsoft.com/office/drawing/2010/main"/>
                          </a:ext>
                        </a:extLst>
                      </pic:spPr>
                    </pic:pic>
                  </a:graphicData>
                </a:graphic>
              </wp:inline>
            </w:drawing>
          </w:r>
        </w:p>
      </w:tc>
      <w:tc>
        <w:tcPr>
          <w:tcW w:w="7768" w:type="dxa"/>
          <w:vAlign w:val="center"/>
        </w:tcPr>
        <w:p w:rsidR="00EF72B5" w:rsidRDefault="00A81E1B">
          <w:pPr>
            <w:spacing w:line="240" w:lineRule="auto"/>
            <w:ind w:left="113"/>
            <w:jc w:val="center"/>
            <w:rPr>
              <w:sz w:val="16"/>
            </w:rPr>
          </w:pPr>
          <w:r>
            <w:rPr>
              <w:sz w:val="14"/>
              <w:szCs w:val="14"/>
            </w:rPr>
            <w:t xml:space="preserve">Autor: Dr. Matthias Hengelbrock | </w:t>
          </w:r>
          <w:r>
            <w:rPr>
              <w:sz w:val="14"/>
            </w:rPr>
            <w:t xml:space="preserve">© Ernst Klett Verlag GmbH, Stuttgart 2015 | www.klett.de | Alle Rechte vorbehalten. </w:t>
          </w:r>
          <w:r>
            <w:rPr>
              <w:sz w:val="14"/>
            </w:rPr>
            <w:br/>
            <w:t xml:space="preserve">Von dieser </w:t>
          </w:r>
          <w:r>
            <w:rPr>
              <w:sz w:val="14"/>
            </w:rPr>
            <w:t>Druckvorlage ist die Vervielfältigung für den eigenen Unterrichtsgebrauch gestattet. Die Kopiergebühren sind abgegolten.</w:t>
          </w:r>
        </w:p>
      </w:tc>
      <w:tc>
        <w:tcPr>
          <w:tcW w:w="284" w:type="dxa"/>
          <w:vAlign w:val="center"/>
        </w:tcPr>
        <w:p w:rsidR="00EF72B5" w:rsidRDefault="00A81E1B">
          <w:pPr>
            <w:spacing w:before="120" w:line="240" w:lineRule="auto"/>
            <w:jc w:val="right"/>
            <w:rPr>
              <w:rFonts w:eastAsiaTheme="majorEastAsia"/>
              <w:sz w:val="16"/>
            </w:rPr>
          </w:pPr>
          <w:r>
            <w:rPr>
              <w:rFonts w:eastAsiaTheme="majorEastAsia"/>
            </w:rPr>
            <w:fldChar w:fldCharType="begin"/>
          </w:r>
          <w:r>
            <w:rPr>
              <w:rFonts w:eastAsiaTheme="majorEastAsia"/>
            </w:rPr>
            <w:instrText xml:space="preserve"> PAGE </w:instrText>
          </w:r>
          <w:r>
            <w:rPr>
              <w:rFonts w:eastAsiaTheme="majorEastAsia"/>
            </w:rPr>
            <w:fldChar w:fldCharType="separate"/>
          </w:r>
          <w:r>
            <w:rPr>
              <w:rFonts w:eastAsiaTheme="majorEastAsia"/>
              <w:noProof/>
            </w:rPr>
            <w:t>1</w:t>
          </w:r>
          <w:r>
            <w:rPr>
              <w:rFonts w:eastAsiaTheme="majorEastAsia"/>
            </w:rPr>
            <w:fldChar w:fldCharType="end"/>
          </w:r>
        </w:p>
      </w:tc>
    </w:tr>
  </w:tbl>
  <w:p w:rsidR="00EF72B5" w:rsidRDefault="00EF72B5">
    <w:pPr>
      <w:spacing w:line="240" w:lineRule="auto"/>
      <w:rPr>
        <w:rFonts w:eastAsia="Minion Pro"/>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B5" w:rsidRDefault="00A81E1B">
      <w:pPr>
        <w:spacing w:line="240" w:lineRule="auto"/>
      </w:pPr>
      <w:r>
        <w:separator/>
      </w:r>
    </w:p>
  </w:footnote>
  <w:footnote w:type="continuationSeparator" w:id="0">
    <w:p w:rsidR="00EF72B5" w:rsidRDefault="00A81E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1B" w:rsidRDefault="00A81E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5" w:rsidRDefault="00A81E1B">
    <w:pPr>
      <w:pStyle w:val="Kopfzeile"/>
      <w:pBdr>
        <w:bottom w:val="single" w:sz="4" w:space="1" w:color="000080"/>
      </w:pBdr>
      <w:tabs>
        <w:tab w:val="clear" w:pos="4536"/>
      </w:tabs>
      <w:spacing w:line="220" w:lineRule="exact"/>
      <w:rPr>
        <w:rFonts w:eastAsia="Minion Pro"/>
        <w:color w:val="000080"/>
      </w:rPr>
    </w:pPr>
    <w:r>
      <w:rPr>
        <w:rFonts w:eastAsia="Minion Pro"/>
        <w:color w:val="000080"/>
      </w:rPr>
      <w:t xml:space="preserve">Pontes, Band 2  ∙  </w:t>
    </w:r>
    <w:r w:rsidRPr="00A81E1B">
      <w:rPr>
        <w:rFonts w:eastAsia="Minion Pro"/>
      </w:rPr>
      <w:t>Stoffverteilungs</w:t>
    </w:r>
    <w:r>
      <w:rPr>
        <w:rFonts w:eastAsia="Minion Pro"/>
        <w:color w:val="000080"/>
      </w:rPr>
      <w:t>- und Arbeit</w:t>
    </w:r>
    <w:bookmarkStart w:id="0" w:name="_GoBack"/>
    <w:bookmarkEnd w:id="0"/>
    <w:r>
      <w:rPr>
        <w:rFonts w:eastAsia="Minion Pro"/>
        <w:color w:val="000080"/>
      </w:rPr>
      <w:t>splan für Niedersachsen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5" w:rsidRDefault="00EF72B5">
    <w:pPr>
      <w:spacing w:line="240" w:lineRule="auto"/>
      <w:rPr>
        <w:sz w:val="2"/>
        <w:szCs w:val="2"/>
      </w:rPr>
    </w:pPr>
  </w:p>
  <w:p w:rsidR="00EF72B5" w:rsidRDefault="00EF72B5">
    <w:pPr>
      <w:pStyle w:val="Kopfzeile"/>
      <w:pBdr>
        <w:bottom w:val="single" w:sz="4" w:space="1" w:color="000080"/>
      </w:pBdr>
      <w:tabs>
        <w:tab w:val="clear" w:pos="4536"/>
      </w:tabs>
      <w:spacing w:line="220" w:lineRule="exact"/>
      <w:rPr>
        <w:rFonts w:eastAsia="Minion Pro"/>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0245"/>
    <w:multiLevelType w:val="hybridMultilevel"/>
    <w:tmpl w:val="70421254"/>
    <w:lvl w:ilvl="0" w:tplc="A1D4F34A">
      <w:start w:val="1"/>
      <w:numFmt w:val="bullet"/>
      <w:lvlText w:val="–"/>
      <w:lvlJc w:val="left"/>
      <w:pPr>
        <w:tabs>
          <w:tab w:val="num" w:pos="227"/>
        </w:tabs>
        <w:ind w:left="227" w:hanging="57"/>
      </w:pPr>
      <w:rPr>
        <w:rFonts w:ascii="Minion Pro" w:hAnsi="Minion Pro" w:hint="default"/>
      </w:rPr>
    </w:lvl>
    <w:lvl w:ilvl="1" w:tplc="1682E458">
      <w:numFmt w:val="bullet"/>
      <w:lvlText w:val="-"/>
      <w:lvlJc w:val="left"/>
      <w:pPr>
        <w:tabs>
          <w:tab w:val="num" w:pos="1440"/>
        </w:tabs>
        <w:ind w:left="1440" w:hanging="360"/>
      </w:pPr>
      <w:rPr>
        <w:rFonts w:ascii="Calibri" w:eastAsia="Times New Roman" w:hAnsi="Calibri"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CC56EAD"/>
    <w:multiLevelType w:val="hybridMultilevel"/>
    <w:tmpl w:val="6E4E12D0"/>
    <w:lvl w:ilvl="0" w:tplc="C2E6799E">
      <w:start w:val="1"/>
      <w:numFmt w:val="bullet"/>
      <w:lvlText w:val="•"/>
      <w:lvlJc w:val="left"/>
      <w:pPr>
        <w:tabs>
          <w:tab w:val="num" w:pos="170"/>
        </w:tabs>
        <w:ind w:left="170" w:hanging="170"/>
      </w:pPr>
      <w:rPr>
        <w:rFonts w:ascii="Minion Pro" w:hAnsi="Minion Pro" w:hint="default"/>
      </w:rPr>
    </w:lvl>
    <w:lvl w:ilvl="1" w:tplc="1682E458">
      <w:numFmt w:val="bullet"/>
      <w:lvlText w:val="-"/>
      <w:lvlJc w:val="left"/>
      <w:pPr>
        <w:tabs>
          <w:tab w:val="num" w:pos="1440"/>
        </w:tabs>
        <w:ind w:left="1440" w:hanging="360"/>
      </w:pPr>
      <w:rPr>
        <w:rFonts w:ascii="Calibri" w:eastAsia="Times New Roman" w:hAnsi="Calibri" w:cs="Times New Roman" w:hint="default"/>
      </w:rPr>
    </w:lvl>
    <w:lvl w:ilvl="2" w:tplc="6CBE16E2">
      <w:start w:val="19"/>
      <w:numFmt w:val="bullet"/>
      <w:lvlText w:val=""/>
      <w:lvlJc w:val="left"/>
      <w:pPr>
        <w:tabs>
          <w:tab w:val="num" w:pos="2160"/>
        </w:tabs>
        <w:ind w:left="2160" w:hanging="360"/>
      </w:pPr>
      <w:rPr>
        <w:rFonts w:ascii="Symbol" w:eastAsia="Times New Roman" w:hAnsi="Symbol"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B5"/>
    <w:rsid w:val="00A81E1B"/>
    <w:rsid w:val="00EF7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exact"/>
    </w:pPr>
    <w:rPr>
      <w:rFonts w:ascii="Calibri" w:eastAsia="Times New Roman" w:hAnsi="Calibri" w:cs="Times New Roman"/>
      <w:sz w:val="20"/>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jc w:val="center"/>
    </w:pPr>
    <w:rPr>
      <w:rFonts w:cs="Arial"/>
      <w:color w:val="002060"/>
    </w:rPr>
  </w:style>
  <w:style w:type="character" w:customStyle="1" w:styleId="KopfzeileZchn">
    <w:name w:val="Kopfzeile Zchn"/>
    <w:basedOn w:val="Absatz-Standardschriftart"/>
    <w:link w:val="Kopfzeile"/>
    <w:rPr>
      <w:rFonts w:ascii="Calibri" w:eastAsia="Times New Roman" w:hAnsi="Calibri" w:cs="Arial"/>
      <w:color w:val="002060"/>
      <w:sz w:val="20"/>
      <w:szCs w:val="24"/>
      <w:lang w:eastAsia="de-DE"/>
    </w:rPr>
  </w:style>
  <w:style w:type="table" w:styleId="Tabellenraster">
    <w:name w:val="Table Grid"/>
    <w:basedOn w:val="NormaleTabell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Calibri" w:eastAsia="Times New Roman" w:hAnsi="Calibri" w:cs="Times New Roman"/>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exact"/>
    </w:pPr>
    <w:rPr>
      <w:rFonts w:ascii="Calibri" w:eastAsia="Times New Roman" w:hAnsi="Calibri" w:cs="Times New Roman"/>
      <w:sz w:val="20"/>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jc w:val="center"/>
    </w:pPr>
    <w:rPr>
      <w:rFonts w:cs="Arial"/>
      <w:color w:val="002060"/>
    </w:rPr>
  </w:style>
  <w:style w:type="character" w:customStyle="1" w:styleId="KopfzeileZchn">
    <w:name w:val="Kopfzeile Zchn"/>
    <w:basedOn w:val="Absatz-Standardschriftart"/>
    <w:link w:val="Kopfzeile"/>
    <w:rPr>
      <w:rFonts w:ascii="Calibri" w:eastAsia="Times New Roman" w:hAnsi="Calibri" w:cs="Arial"/>
      <w:color w:val="002060"/>
      <w:sz w:val="20"/>
      <w:szCs w:val="24"/>
      <w:lang w:eastAsia="de-DE"/>
    </w:rPr>
  </w:style>
  <w:style w:type="table" w:styleId="Tabellenraster">
    <w:name w:val="Table Grid"/>
    <w:basedOn w:val="NormaleTabell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Calibri" w:eastAsia="Times New Roman" w:hAnsi="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7E53-70FC-473A-8095-A4AE256B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3420</Words>
  <Characters>21548</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Matthias Hengelbrock</dc:creator>
  <cp:lastModifiedBy>Keller, Nikolaus</cp:lastModifiedBy>
  <cp:revision>3</cp:revision>
  <cp:lastPrinted>2015-09-03T17:37:00Z</cp:lastPrinted>
  <dcterms:created xsi:type="dcterms:W3CDTF">2016-05-23T10:13:00Z</dcterms:created>
  <dcterms:modified xsi:type="dcterms:W3CDTF">2016-05-31T07:01:00Z</dcterms:modified>
</cp:coreProperties>
</file>