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Layout w:type="fixed"/>
        <w:tblCellMar>
          <w:left w:w="70" w:type="dxa"/>
          <w:right w:w="70" w:type="dxa"/>
        </w:tblCellMar>
        <w:tblLook w:val="0000" w:firstRow="0" w:lastRow="0" w:firstColumn="0" w:lastColumn="0" w:noHBand="0" w:noVBand="0"/>
      </w:tblPr>
      <w:tblGrid>
        <w:gridCol w:w="2127"/>
        <w:gridCol w:w="3402"/>
        <w:gridCol w:w="3543"/>
      </w:tblGrid>
      <w:tr>
        <w:tc>
          <w:tcPr>
            <w:tcW w:w="2127" w:type="dxa"/>
            <w:vMerge w:val="restart"/>
            <w:shd w:val="clear" w:color="auto" w:fill="auto"/>
            <w:tcMar>
              <w:top w:w="0" w:type="dxa"/>
              <w:left w:w="0" w:type="dxa"/>
              <w:bottom w:w="0" w:type="dxa"/>
              <w:right w:w="0" w:type="dxa"/>
            </w:tcMar>
            <w:vAlign w:val="center"/>
          </w:tcPr>
          <w:p>
            <w:pPr>
              <w:pStyle w:val="Fuzeile"/>
              <w:tabs>
                <w:tab w:val="clear" w:pos="4536"/>
                <w:tab w:val="clear" w:pos="9072"/>
              </w:tabs>
            </w:pPr>
            <w:r>
              <w:drawing>
                <wp:inline distT="0" distB="0" distL="0" distR="0">
                  <wp:extent cx="1192073" cy="1620000"/>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ntes 1.jpg"/>
                          <pic:cNvPicPr/>
                        </pic:nvPicPr>
                        <pic:blipFill>
                          <a:blip r:embed="rId7">
                            <a:extLst>
                              <a:ext uri="{28A0092B-C50C-407E-A947-70E740481C1C}">
                                <a14:useLocalDpi xmlns:a14="http://schemas.microsoft.com/office/drawing/2010/main" val="0"/>
                              </a:ext>
                            </a:extLst>
                          </a:blip>
                          <a:stretch>
                            <a:fillRect/>
                          </a:stretch>
                        </pic:blipFill>
                        <pic:spPr>
                          <a:xfrm>
                            <a:off x="0" y="0"/>
                            <a:ext cx="1192073" cy="1620000"/>
                          </a:xfrm>
                          <a:prstGeom prst="rect">
                            <a:avLst/>
                          </a:prstGeom>
                        </pic:spPr>
                      </pic:pic>
                    </a:graphicData>
                  </a:graphic>
                </wp:inline>
              </w:drawing>
            </w:r>
          </w:p>
        </w:tc>
        <w:tc>
          <w:tcPr>
            <w:tcW w:w="6945" w:type="dxa"/>
            <w:gridSpan w:val="2"/>
            <w:shd w:val="clear" w:color="auto" w:fill="auto"/>
            <w:tcMar>
              <w:top w:w="57" w:type="dxa"/>
              <w:left w:w="108" w:type="dxa"/>
              <w:bottom w:w="57" w:type="dxa"/>
              <w:right w:w="108" w:type="dxa"/>
            </w:tcMar>
            <w:vAlign w:val="center"/>
          </w:tcPr>
          <w:p>
            <w:r>
              <w:rPr>
                <w:b/>
                <w:color w:val="000080"/>
                <w:sz w:val="28"/>
              </w:rPr>
              <w:t>Stoffverteilungs- und Arbeitsplan für Niedersachsen</w:t>
            </w:r>
          </w:p>
        </w:tc>
      </w:tr>
      <w:tr>
        <w:tc>
          <w:tcPr>
            <w:tcW w:w="2127" w:type="dxa"/>
            <w:vMerge/>
            <w:shd w:val="clear" w:color="auto" w:fill="auto"/>
            <w:tcMar>
              <w:top w:w="57" w:type="dxa"/>
              <w:left w:w="108" w:type="dxa"/>
              <w:bottom w:w="57" w:type="dxa"/>
              <w:right w:w="108" w:type="dxa"/>
            </w:tcMar>
          </w:tcPr>
          <w:p/>
        </w:tc>
        <w:tc>
          <w:tcPr>
            <w:tcW w:w="3402" w:type="dxa"/>
            <w:shd w:val="clear" w:color="auto" w:fill="auto"/>
            <w:tcMar>
              <w:top w:w="57" w:type="dxa"/>
              <w:left w:w="108" w:type="dxa"/>
              <w:bottom w:w="57" w:type="dxa"/>
              <w:right w:w="108" w:type="dxa"/>
            </w:tcMar>
          </w:tcPr>
          <w:p/>
        </w:tc>
        <w:tc>
          <w:tcPr>
            <w:tcW w:w="3543" w:type="dxa"/>
            <w:tcMar>
              <w:top w:w="57" w:type="dxa"/>
              <w:left w:w="108" w:type="dxa"/>
              <w:bottom w:w="57" w:type="dxa"/>
              <w:right w:w="108" w:type="dxa"/>
            </w:tcMar>
          </w:tcPr>
          <w:p/>
        </w:tc>
      </w:tr>
      <w:tr>
        <w:tc>
          <w:tcPr>
            <w:tcW w:w="2127" w:type="dxa"/>
            <w:vMerge/>
            <w:shd w:val="clear" w:color="auto" w:fill="auto"/>
            <w:tcMar>
              <w:top w:w="57" w:type="dxa"/>
              <w:left w:w="108" w:type="dxa"/>
              <w:bottom w:w="57" w:type="dxa"/>
              <w:right w:w="108" w:type="dxa"/>
            </w:tcMar>
          </w:tcPr>
          <w:p/>
        </w:tc>
        <w:tc>
          <w:tcPr>
            <w:tcW w:w="3402" w:type="dxa"/>
            <w:shd w:val="clear" w:color="auto" w:fill="auto"/>
            <w:tcMar>
              <w:top w:w="57" w:type="dxa"/>
              <w:left w:w="108" w:type="dxa"/>
              <w:bottom w:w="57" w:type="dxa"/>
              <w:right w:w="108" w:type="dxa"/>
            </w:tcMar>
          </w:tcPr>
          <w:p>
            <w:pPr>
              <w:rPr>
                <w:sz w:val="24"/>
              </w:rPr>
            </w:pPr>
            <w:r>
              <w:rPr>
                <w:b/>
                <w:color w:val="000080"/>
                <w:sz w:val="28"/>
              </w:rPr>
              <w:t>Pontes</w:t>
            </w:r>
          </w:p>
        </w:tc>
        <w:tc>
          <w:tcPr>
            <w:tcW w:w="3543" w:type="dxa"/>
            <w:tcMar>
              <w:top w:w="57" w:type="dxa"/>
              <w:left w:w="108" w:type="dxa"/>
              <w:bottom w:w="57" w:type="dxa"/>
              <w:right w:w="108" w:type="dxa"/>
            </w:tcMar>
          </w:tcPr>
          <w:p>
            <w:pPr>
              <w:rPr>
                <w:sz w:val="24"/>
              </w:rPr>
            </w:pPr>
          </w:p>
        </w:tc>
      </w:tr>
      <w:tr>
        <w:tc>
          <w:tcPr>
            <w:tcW w:w="2127" w:type="dxa"/>
            <w:vMerge/>
            <w:shd w:val="clear" w:color="auto" w:fill="auto"/>
            <w:tcMar>
              <w:top w:w="57" w:type="dxa"/>
              <w:left w:w="108" w:type="dxa"/>
              <w:bottom w:w="57" w:type="dxa"/>
              <w:right w:w="108" w:type="dxa"/>
            </w:tcMar>
          </w:tcPr>
          <w:p/>
        </w:tc>
        <w:tc>
          <w:tcPr>
            <w:tcW w:w="3402" w:type="dxa"/>
            <w:shd w:val="clear" w:color="auto" w:fill="auto"/>
            <w:tcMar>
              <w:top w:w="57" w:type="dxa"/>
              <w:left w:w="108" w:type="dxa"/>
              <w:bottom w:w="57" w:type="dxa"/>
              <w:right w:w="108" w:type="dxa"/>
            </w:tcMar>
          </w:tcPr>
          <w:p>
            <w:pPr>
              <w:rPr>
                <w:sz w:val="24"/>
              </w:rPr>
            </w:pPr>
            <w:r>
              <w:rPr>
                <w:sz w:val="24"/>
              </w:rPr>
              <w:t>Band 1</w:t>
            </w:r>
          </w:p>
        </w:tc>
        <w:tc>
          <w:tcPr>
            <w:tcW w:w="3543" w:type="dxa"/>
            <w:tcMar>
              <w:top w:w="57" w:type="dxa"/>
              <w:left w:w="108" w:type="dxa"/>
              <w:bottom w:w="57" w:type="dxa"/>
              <w:right w:w="108" w:type="dxa"/>
            </w:tcMar>
          </w:tcPr>
          <w:p>
            <w:pPr>
              <w:tabs>
                <w:tab w:val="left" w:pos="1185"/>
              </w:tabs>
              <w:rPr>
                <w:sz w:val="24"/>
              </w:rPr>
            </w:pPr>
            <w:r>
              <w:rPr>
                <w:sz w:val="24"/>
              </w:rPr>
              <w:t>Schule:</w:t>
            </w:r>
            <w:r>
              <w:rPr>
                <w:sz w:val="24"/>
              </w:rPr>
              <w:tab/>
            </w:r>
          </w:p>
        </w:tc>
      </w:tr>
      <w:tr>
        <w:tc>
          <w:tcPr>
            <w:tcW w:w="2127" w:type="dxa"/>
            <w:vMerge/>
            <w:shd w:val="clear" w:color="auto" w:fill="auto"/>
            <w:tcMar>
              <w:top w:w="57" w:type="dxa"/>
              <w:left w:w="108" w:type="dxa"/>
              <w:bottom w:w="57" w:type="dxa"/>
              <w:right w:w="108" w:type="dxa"/>
            </w:tcMar>
          </w:tcPr>
          <w:p/>
        </w:tc>
        <w:tc>
          <w:tcPr>
            <w:tcW w:w="3402" w:type="dxa"/>
            <w:shd w:val="clear" w:color="auto" w:fill="auto"/>
            <w:tcMar>
              <w:top w:w="57" w:type="dxa"/>
              <w:left w:w="108" w:type="dxa"/>
              <w:bottom w:w="57" w:type="dxa"/>
              <w:right w:w="108" w:type="dxa"/>
            </w:tcMar>
          </w:tcPr>
          <w:p>
            <w:pPr>
              <w:rPr>
                <w:sz w:val="24"/>
              </w:rPr>
            </w:pPr>
            <w:r>
              <w:rPr>
                <w:sz w:val="24"/>
              </w:rPr>
              <w:t>978-3-12-622301-0</w:t>
            </w:r>
          </w:p>
        </w:tc>
        <w:tc>
          <w:tcPr>
            <w:tcW w:w="3543" w:type="dxa"/>
            <w:tcMar>
              <w:top w:w="57" w:type="dxa"/>
              <w:left w:w="108" w:type="dxa"/>
              <w:bottom w:w="57" w:type="dxa"/>
              <w:right w:w="108" w:type="dxa"/>
            </w:tcMar>
          </w:tcPr>
          <w:p>
            <w:pPr>
              <w:tabs>
                <w:tab w:val="left" w:pos="1185"/>
              </w:tabs>
              <w:rPr>
                <w:sz w:val="24"/>
              </w:rPr>
            </w:pPr>
            <w:r>
              <w:rPr>
                <w:sz w:val="24"/>
              </w:rPr>
              <w:t>Lehrkraft:</w:t>
            </w:r>
            <w:r>
              <w:rPr>
                <w:sz w:val="24"/>
              </w:rPr>
              <w:tab/>
            </w:r>
          </w:p>
        </w:tc>
      </w:tr>
    </w:tbl>
    <w:p/>
    <w:p/>
    <w:p/>
    <w:p>
      <w:pPr>
        <w:spacing w:after="120" w:line="240" w:lineRule="auto"/>
        <w:rPr>
          <w:b/>
          <w:sz w:val="24"/>
        </w:rPr>
      </w:pPr>
      <w:r>
        <w:rPr>
          <w:b/>
          <w:color w:val="000080"/>
          <w:sz w:val="24"/>
        </w:rPr>
        <w:t>Vorbemerkungen</w:t>
      </w:r>
    </w:p>
    <w:p>
      <w:pPr>
        <w:numPr>
          <w:ilvl w:val="0"/>
          <w:numId w:val="2"/>
        </w:numPr>
        <w:spacing w:before="60"/>
        <w:rPr>
          <w:szCs w:val="20"/>
        </w:rPr>
      </w:pPr>
      <w:r>
        <w:rPr>
          <w:szCs w:val="20"/>
        </w:rPr>
        <w:t>Die Beschreibung der einzelnen Kompetenzen folgt zumeist wörtlich – in einigen Fällen mit kontextbedingten Kürzungen – dem niedersächsischen Kerncurriculum (KC) für das Unterrichtsfach Latein in den Schuljahrgängen 5–10 des Gymnasiums (2017).</w:t>
      </w:r>
    </w:p>
    <w:p>
      <w:pPr>
        <w:numPr>
          <w:ilvl w:val="0"/>
          <w:numId w:val="2"/>
        </w:numPr>
        <w:spacing w:before="60"/>
        <w:rPr>
          <w:szCs w:val="20"/>
        </w:rPr>
      </w:pPr>
      <w:r>
        <w:rPr>
          <w:szCs w:val="20"/>
        </w:rPr>
        <w:t>Zu den einzelnen Lektionen werden nur diejenigen Kompetenzen aufgeführt, die dort schwerpunktmäßig erworben oder erweitert werden, z.</w:t>
      </w:r>
      <w:r>
        <w:rPr>
          <w:sz w:val="14"/>
          <w:szCs w:val="20"/>
        </w:rPr>
        <w:t> </w:t>
      </w:r>
      <w:r>
        <w:rPr>
          <w:szCs w:val="20"/>
        </w:rPr>
        <w:t>B. durch die Einführung eines neuen Grammatikstoffs oder durch die Thematik der Lese- und Sachinfotexte. Eine schematische Vollständigkeit ist hier nicht beabsichtigt, um die Tabellen überschaubar zu halten.</w:t>
      </w:r>
    </w:p>
    <w:p>
      <w:pPr>
        <w:numPr>
          <w:ilvl w:val="0"/>
          <w:numId w:val="2"/>
        </w:numPr>
        <w:spacing w:before="60"/>
        <w:rPr>
          <w:szCs w:val="20"/>
        </w:rPr>
      </w:pPr>
      <w:r>
        <w:rPr>
          <w:szCs w:val="20"/>
        </w:rPr>
        <w:t>Zahlreiche im KC erwähnte Kompetenzen sind nicht an bestimmte grammatische oder thematische Phänomene gebunden, sondern werden mehr oder weniger in jeder Lateinstunde geschult und sukzessive erweitert (z.</w:t>
      </w:r>
      <w:r>
        <w:rPr>
          <w:sz w:val="14"/>
          <w:szCs w:val="20"/>
        </w:rPr>
        <w:t> </w:t>
      </w:r>
      <w:r>
        <w:rPr>
          <w:szCs w:val="20"/>
        </w:rPr>
        <w:t>B. korrekte Aussprache, Anwendung von Regelwissen, Darstellung von gemeinsam Erarbeitetem). Sie sind auf S.</w:t>
      </w:r>
      <w:r>
        <w:rPr>
          <w:sz w:val="14"/>
          <w:szCs w:val="20"/>
        </w:rPr>
        <w:t> </w:t>
      </w:r>
      <w:r>
        <w:rPr>
          <w:szCs w:val="20"/>
        </w:rPr>
        <w:t xml:space="preserve">3–5 des vorliegenden Plans dem gesamten Band 1 </w:t>
      </w:r>
      <w:r>
        <w:rPr>
          <w:i/>
          <w:szCs w:val="20"/>
        </w:rPr>
        <w:t>passim</w:t>
      </w:r>
      <w:r>
        <w:rPr>
          <w:szCs w:val="20"/>
        </w:rPr>
        <w:t xml:space="preserve"> zugeordnet und werden im Folgenden nur dann noch einmal explizit erwähnt, wenn sie in einer Lektion unter einem bestimmten Aspekt wichtig sind.</w:t>
      </w:r>
    </w:p>
    <w:p>
      <w:pPr>
        <w:numPr>
          <w:ilvl w:val="0"/>
          <w:numId w:val="2"/>
        </w:numPr>
        <w:spacing w:before="60"/>
        <w:rPr>
          <w:szCs w:val="20"/>
        </w:rPr>
      </w:pPr>
      <w:r>
        <w:rPr>
          <w:szCs w:val="20"/>
        </w:rPr>
        <w:t>Die mit (+) bezeichneten Kompetenzen und Inhalte gehören nicht zum Pflichtprogramm des niedersächsischen KC bis zum Ende der Jahrgangsstufe 7, resultieren aber aus allgemeinen didaktischen Überlegungen oder aus Vorgaben anderer Bundesländer. Sie sollten an dieser Stelle zumindest grundlegend vermittelt werden.</w:t>
      </w:r>
    </w:p>
    <w:p>
      <w:pPr>
        <w:numPr>
          <w:ilvl w:val="0"/>
          <w:numId w:val="2"/>
        </w:numPr>
        <w:spacing w:before="60"/>
        <w:rPr>
          <w:szCs w:val="20"/>
        </w:rPr>
      </w:pPr>
      <w:r>
        <w:rPr>
          <w:szCs w:val="20"/>
        </w:rPr>
        <w:t>Je nachdem, wie weit die Lehrbuchphase in die Jahrgangsstufe 9 ausgedehnt werden soll, kann die letzte Sequenz von Bd.</w:t>
      </w:r>
      <w:r>
        <w:rPr>
          <w:sz w:val="14"/>
          <w:szCs w:val="20"/>
        </w:rPr>
        <w:t xml:space="preserve"> </w:t>
      </w:r>
      <w:r>
        <w:rPr>
          <w:szCs w:val="20"/>
        </w:rPr>
        <w:t>1 (L.</w:t>
      </w:r>
      <w:r>
        <w:rPr>
          <w:sz w:val="14"/>
          <w:szCs w:val="20"/>
        </w:rPr>
        <w:t xml:space="preserve"> </w:t>
      </w:r>
      <w:r>
        <w:rPr>
          <w:szCs w:val="20"/>
        </w:rPr>
        <w:t>10–13) auch in der Jahrgangsstufe 7 behandelt werden. Wenn die Arbeit mit Bd.</w:t>
      </w:r>
      <w:r>
        <w:rPr>
          <w:sz w:val="14"/>
          <w:szCs w:val="20"/>
        </w:rPr>
        <w:t> </w:t>
      </w:r>
      <w:r>
        <w:rPr>
          <w:szCs w:val="20"/>
        </w:rPr>
        <w:t>1 bereits am En</w:t>
      </w:r>
      <w:bookmarkStart w:id="0" w:name="_GoBack"/>
      <w:bookmarkEnd w:id="0"/>
      <w:r>
        <w:rPr>
          <w:szCs w:val="20"/>
        </w:rPr>
        <w:t xml:space="preserve">de der Jahrgangsstufe 6 abgeschlossen sein soll, können die ohnehin fakultativen Sequenzabschlüsse stark gekürzt oder wie die </w:t>
      </w:r>
      <w:r>
        <w:t xml:space="preserve">Zusatzlektion Z </w:t>
      </w:r>
      <w:r>
        <w:rPr>
          <w:szCs w:val="20"/>
        </w:rPr>
        <w:t>ganz ausgelassen werden.</w:t>
      </w:r>
    </w:p>
    <w:p/>
    <w:p/>
    <w:p/>
    <w:p>
      <w:pPr>
        <w:spacing w:after="120" w:line="240" w:lineRule="auto"/>
        <w:rPr>
          <w:b/>
          <w:sz w:val="24"/>
        </w:rPr>
      </w:pPr>
      <w:r>
        <w:rPr>
          <w:b/>
          <w:color w:val="000080"/>
          <w:sz w:val="24"/>
        </w:rPr>
        <w:t>Übersicht über die zu vermittelnden Kompetenzen (Auszug aus dem niedersächsischen KC)</w:t>
      </w:r>
    </w:p>
    <w:p>
      <w:pPr>
        <w:rPr>
          <w:b/>
          <w:color w:val="CC0066"/>
        </w:rPr>
      </w:pPr>
      <w:r>
        <w:rPr>
          <w:b/>
          <w:color w:val="CC0066"/>
        </w:rPr>
        <w:t>1. Sprachkompetenz</w:t>
      </w:r>
    </w:p>
    <w:p>
      <w:pPr>
        <w:tabs>
          <w:tab w:val="left" w:pos="227"/>
        </w:tabs>
        <w:spacing w:before="60"/>
        <w:rPr>
          <w:b/>
          <w:szCs w:val="20"/>
        </w:rPr>
      </w:pPr>
      <w:r>
        <w:rPr>
          <w:b/>
          <w:szCs w:val="20"/>
        </w:rPr>
        <w:t>a)</w:t>
      </w:r>
      <w:r>
        <w:rPr>
          <w:b/>
          <w:szCs w:val="20"/>
        </w:rPr>
        <w:tab/>
        <w:t>Latein als Fremdsprache: Latein lernen</w:t>
      </w:r>
    </w:p>
    <w:p>
      <w:pPr>
        <w:spacing w:before="60"/>
        <w:rPr>
          <w:szCs w:val="20"/>
        </w:rPr>
      </w:pPr>
      <w:r>
        <w:rPr>
          <w:szCs w:val="20"/>
        </w:rPr>
        <w:t>Die Schülerinnen und Schüler lernen die lateinische Sprache als ein wohlgeordnetes System kennen, in welchem Wörter nicht isoliert, sondern in einer semantischen und formalen Beziehung zueinander stehen.</w:t>
      </w:r>
    </w:p>
    <w:p>
      <w:pPr>
        <w:numPr>
          <w:ilvl w:val="0"/>
          <w:numId w:val="2"/>
        </w:numPr>
        <w:spacing w:before="60"/>
        <w:rPr>
          <w:szCs w:val="20"/>
        </w:rPr>
      </w:pPr>
      <w:r>
        <w:rPr>
          <w:b/>
          <w:color w:val="008000"/>
          <w:szCs w:val="20"/>
        </w:rPr>
        <w:t xml:space="preserve">Lexik: </w:t>
      </w:r>
      <w:r>
        <w:rPr>
          <w:szCs w:val="20"/>
        </w:rPr>
        <w:t>Die Schülerinnen und Schüler verfügen über einen lateinischen Grundwortschatz. Indem sie Bedeutungen aus dem Kontext differenzieren sowie sich sukzessive ein metasprachliches Vokabular aneignen, erweitern sie ihren Wortschatz und ihre Ausdrucksfähigkeit im Deutschen.</w:t>
      </w:r>
    </w:p>
    <w:p>
      <w:pPr>
        <w:numPr>
          <w:ilvl w:val="0"/>
          <w:numId w:val="2"/>
        </w:numPr>
        <w:spacing w:before="60"/>
        <w:rPr>
          <w:szCs w:val="20"/>
        </w:rPr>
      </w:pPr>
      <w:r>
        <w:rPr>
          <w:b/>
          <w:color w:val="008000"/>
          <w:szCs w:val="20"/>
        </w:rPr>
        <w:t xml:space="preserve">Morphologie: </w:t>
      </w:r>
      <w:r>
        <w:rPr>
          <w:szCs w:val="20"/>
        </w:rPr>
        <w:t xml:space="preserve">Ausgehend von der Beherrschung der </w:t>
      </w:r>
      <w:r>
        <w:rPr>
          <w:b/>
          <w:szCs w:val="20"/>
        </w:rPr>
        <w:t>Einzelformen</w:t>
      </w:r>
      <w:r>
        <w:rPr>
          <w:szCs w:val="20"/>
        </w:rPr>
        <w:t xml:space="preserve">, die in sinnvolle </w:t>
      </w:r>
      <w:r>
        <w:rPr>
          <w:b/>
          <w:szCs w:val="20"/>
        </w:rPr>
        <w:t>Ordnungsrahmen</w:t>
      </w:r>
      <w:r>
        <w:rPr>
          <w:szCs w:val="20"/>
        </w:rPr>
        <w:t xml:space="preserve"> (Paradigmen) eingefügt sind, erkennen die Schülerinnen und Schüler das </w:t>
      </w:r>
      <w:r>
        <w:rPr>
          <w:b/>
          <w:szCs w:val="20"/>
        </w:rPr>
        <w:t>Gesamtsystem</w:t>
      </w:r>
      <w:r>
        <w:rPr>
          <w:szCs w:val="20"/>
        </w:rPr>
        <w:t xml:space="preserve"> der Formen als </w:t>
      </w:r>
      <w:r>
        <w:rPr>
          <w:b/>
          <w:szCs w:val="20"/>
        </w:rPr>
        <w:t>regelhaftes Ordnungsgefüge.</w:t>
      </w:r>
    </w:p>
    <w:p>
      <w:pPr>
        <w:numPr>
          <w:ilvl w:val="0"/>
          <w:numId w:val="2"/>
        </w:numPr>
        <w:spacing w:before="60"/>
        <w:rPr>
          <w:szCs w:val="20"/>
        </w:rPr>
      </w:pPr>
      <w:r>
        <w:rPr>
          <w:b/>
          <w:color w:val="008000"/>
          <w:szCs w:val="20"/>
        </w:rPr>
        <w:t xml:space="preserve">Syntax: </w:t>
      </w:r>
      <w:r>
        <w:rPr>
          <w:szCs w:val="20"/>
        </w:rPr>
        <w:t xml:space="preserve">Die Schülerinnen und Schüler erfassen die lateinische Syntax als ein geschlossenes und überschaubares </w:t>
      </w:r>
      <w:r>
        <w:rPr>
          <w:b/>
          <w:szCs w:val="20"/>
        </w:rPr>
        <w:t>System</w:t>
      </w:r>
      <w:r>
        <w:rPr>
          <w:szCs w:val="20"/>
        </w:rPr>
        <w:t xml:space="preserve">. Mit Hilfe eines </w:t>
      </w:r>
      <w:r>
        <w:rPr>
          <w:b/>
          <w:szCs w:val="20"/>
        </w:rPr>
        <w:t xml:space="preserve">Satzmodells </w:t>
      </w:r>
      <w:r>
        <w:rPr>
          <w:szCs w:val="20"/>
        </w:rPr>
        <w:t xml:space="preserve">systematisieren sie die Satzglieder und deren </w:t>
      </w:r>
      <w:r>
        <w:rPr>
          <w:szCs w:val="20"/>
        </w:rPr>
        <w:lastRenderedPageBreak/>
        <w:t xml:space="preserve">Füllungsarten. Sie führen die zahlreichen sprachlichen Erscheinungen auf wenige Prinzipien zurück, sodass ihnen das </w:t>
      </w:r>
      <w:r>
        <w:rPr>
          <w:b/>
          <w:szCs w:val="20"/>
        </w:rPr>
        <w:t>Baukastenprinzip</w:t>
      </w:r>
      <w:r>
        <w:rPr>
          <w:szCs w:val="20"/>
        </w:rPr>
        <w:t xml:space="preserve"> der lateinischen Sprache deutlich wird.</w:t>
      </w:r>
    </w:p>
    <w:p>
      <w:pPr>
        <w:numPr>
          <w:ilvl w:val="0"/>
          <w:numId w:val="2"/>
        </w:numPr>
        <w:spacing w:before="60"/>
        <w:rPr>
          <w:szCs w:val="20"/>
        </w:rPr>
      </w:pPr>
      <w:r>
        <w:rPr>
          <w:b/>
          <w:color w:val="008000"/>
          <w:szCs w:val="20"/>
        </w:rPr>
        <w:t xml:space="preserve">Latein als Verständigungsmittel: </w:t>
      </w:r>
      <w:r>
        <w:rPr>
          <w:szCs w:val="20"/>
        </w:rPr>
        <w:t xml:space="preserve">Anders als im Unterricht in den modernen Fremdsprachen wird im Lateinunterricht eine aktive lateinische Sprachkompetenz nicht angestrebt (didaktisch-methodisches Prinzip der Zweisprachigkeit). Die Schülerinnen und Schüler erwerben jedoch spezifisch auf die lateinische Sprache bezogene kommunikative Kompetenzen (phonologische Kompetenz, rezeptive Kompetenz). Die Produktion kurzer Wendungen und Sätze auf Latein stillt das Bedürfnis besonders jüngerer Lateinschülerinnen und </w:t>
      </w:r>
      <w:r>
        <w:rPr>
          <w:szCs w:val="20"/>
        </w:rPr>
        <w:br/>
        <w:t>-schüler, Latein auch zu „sprechen“, und unterstützt zugleich den Sprachlernprozess.</w:t>
      </w:r>
    </w:p>
    <w:p>
      <w:pPr>
        <w:tabs>
          <w:tab w:val="left" w:pos="227"/>
        </w:tabs>
        <w:spacing w:before="60"/>
        <w:rPr>
          <w:b/>
          <w:szCs w:val="20"/>
        </w:rPr>
      </w:pPr>
      <w:r>
        <w:rPr>
          <w:b/>
          <w:szCs w:val="20"/>
        </w:rPr>
        <w:t>b)</w:t>
      </w:r>
      <w:r>
        <w:rPr>
          <w:b/>
          <w:szCs w:val="20"/>
        </w:rPr>
        <w:tab/>
        <w:t>Latein als Reflexionssprache: über Sprache nachdenken</w:t>
      </w:r>
    </w:p>
    <w:p>
      <w:pPr>
        <w:spacing w:before="60"/>
        <w:rPr>
          <w:szCs w:val="20"/>
        </w:rPr>
      </w:pPr>
      <w:r>
        <w:rPr>
          <w:szCs w:val="20"/>
        </w:rPr>
        <w:t>Die Schülerinnen und Schüler erkennen durch ständigen Vergleich zwischen Latein und anderen europäischen Sprachen die Zusammengehörigkeit der Sprachen und Völker Europas. Durch diesen interdisziplinären Ansatz werden sie für ein grundlegendes Verständnis von Sprache sensibilisiert.</w:t>
      </w:r>
    </w:p>
    <w:p>
      <w:pPr>
        <w:rPr>
          <w:b/>
          <w:bCs/>
          <w:szCs w:val="20"/>
        </w:rPr>
      </w:pPr>
    </w:p>
    <w:p>
      <w:pPr>
        <w:rPr>
          <w:b/>
          <w:color w:val="CC0066"/>
        </w:rPr>
      </w:pPr>
      <w:r>
        <w:rPr>
          <w:b/>
          <w:color w:val="CC0066"/>
        </w:rPr>
        <w:t>2. Textkompetenz</w:t>
      </w:r>
    </w:p>
    <w:p>
      <w:pPr>
        <w:spacing w:before="60"/>
        <w:rPr>
          <w:szCs w:val="20"/>
        </w:rPr>
      </w:pPr>
      <w:r>
        <w:rPr>
          <w:szCs w:val="20"/>
        </w:rPr>
        <w:t xml:space="preserve">Die Lehrbuchphase beginnt mit dem Schuljahrgang 6 (oder 5) und endet spätestens mit dem Ende des Schuljahrgangs 9. Die Lektüre von Originaltexten kann frühestens mit dem Beginn von Schuljahrgang 9, muss spätestens mit dem Beginn von Schuljahrgang 10 einsetzen. Zwischen Lehrbuch- und Lektürephase kann im Schuljahrgang 9 eine Übergangslektüre treten. </w:t>
      </w:r>
    </w:p>
    <w:p>
      <w:pPr>
        <w:spacing w:before="60"/>
        <w:rPr>
          <w:szCs w:val="20"/>
        </w:rPr>
      </w:pPr>
      <w:r>
        <w:rPr>
          <w:szCs w:val="20"/>
        </w:rPr>
        <w:t>Ab dem Schuljahrgang 10 werden anhand originaler Texte weitergehende inhaltliche Fragestellungen sowie die Einheit von gedanklicher und künstlerischer Form erarbeitet. Die Auswahl der Texte orientiert sich an dem, was für die lateinische Literatur und römische Kultur sowie für ihr Fortleben repräsentativ ist, erfolgt themen- und/oder problemorientiert und berücksichtigt dabei Alter und Lernstand der Schülerinnen und Schüler.</w:t>
      </w:r>
    </w:p>
    <w:p>
      <w:pPr>
        <w:numPr>
          <w:ilvl w:val="0"/>
          <w:numId w:val="2"/>
        </w:numPr>
        <w:spacing w:before="60"/>
        <w:rPr>
          <w:bCs/>
          <w:i/>
          <w:szCs w:val="20"/>
        </w:rPr>
      </w:pPr>
      <w:r>
        <w:rPr>
          <w:b/>
          <w:color w:val="008000"/>
          <w:szCs w:val="20"/>
        </w:rPr>
        <w:t xml:space="preserve">Erschließen: </w:t>
      </w:r>
      <w:r>
        <w:rPr>
          <w:bCs/>
          <w:szCs w:val="20"/>
        </w:rPr>
        <w:t xml:space="preserve">Die </w:t>
      </w:r>
      <w:r>
        <w:rPr>
          <w:szCs w:val="20"/>
        </w:rPr>
        <w:t>Schülerinnen</w:t>
      </w:r>
      <w:r>
        <w:rPr>
          <w:bCs/>
          <w:szCs w:val="20"/>
        </w:rPr>
        <w:t xml:space="preserve"> und Schüler analysieren einen Text semantisch und syntaktisch, sodass sie wesentliche Elemente seiner Struktur und seines Inhalts erkennen.</w:t>
      </w:r>
    </w:p>
    <w:p>
      <w:pPr>
        <w:numPr>
          <w:ilvl w:val="0"/>
          <w:numId w:val="2"/>
        </w:numPr>
        <w:spacing w:before="60"/>
      </w:pPr>
      <w:r>
        <w:rPr>
          <w:b/>
          <w:color w:val="008000"/>
          <w:szCs w:val="20"/>
        </w:rPr>
        <w:t xml:space="preserve">Übersetzen: </w:t>
      </w:r>
      <w:r>
        <w:rPr>
          <w:szCs w:val="20"/>
        </w:rPr>
        <w:t>Übersetzen</w:t>
      </w:r>
      <w:r>
        <w:t xml:space="preserve"> ist ein anspruchsvoller kreativer Vorgang. Die Schülerinnen und Schüler erarbeiten in diesem Prozess eine erste – sehr eng am Original orientierte – Arbeitsübersetzung und formen sie nach einer sprachlichen und inhaltlichen Klärung zu einer zielsprachlich angemessenen Übersetzung aus.</w:t>
      </w:r>
    </w:p>
    <w:p>
      <w:pPr>
        <w:numPr>
          <w:ilvl w:val="0"/>
          <w:numId w:val="2"/>
        </w:numPr>
        <w:spacing w:before="60"/>
        <w:rPr>
          <w:szCs w:val="20"/>
        </w:rPr>
      </w:pPr>
      <w:r>
        <w:rPr>
          <w:b/>
          <w:color w:val="008000"/>
          <w:szCs w:val="20"/>
        </w:rPr>
        <w:t xml:space="preserve">Interpretieren: </w:t>
      </w:r>
      <w:r>
        <w:t>Die</w:t>
      </w:r>
      <w:r>
        <w:rPr>
          <w:szCs w:val="20"/>
        </w:rPr>
        <w:t xml:space="preserve"> Schülerinnen und Schüler erfassen lateinische Texte inhaltlich und formal und setzen sich kritisch mit ihnen auseinander.</w:t>
      </w:r>
    </w:p>
    <w:p/>
    <w:p>
      <w:pPr>
        <w:rPr>
          <w:b/>
          <w:color w:val="CC0066"/>
        </w:rPr>
      </w:pPr>
      <w:r>
        <w:rPr>
          <w:b/>
          <w:color w:val="CC0066"/>
        </w:rPr>
        <w:t>3. Kulturkompetenz</w:t>
      </w:r>
    </w:p>
    <w:p>
      <w:pPr>
        <w:spacing w:before="60"/>
        <w:rPr>
          <w:bCs/>
          <w:szCs w:val="20"/>
        </w:rPr>
      </w:pPr>
      <w:r>
        <w:rPr>
          <w:szCs w:val="20"/>
        </w:rPr>
        <w:t>Die Schülerinnen und Schüler gewinnen eine exemplarisch vertiefte Vertrautheit mit den sachlich-lebensweltlichen und kulturell-künstlerischen Kontexten lateinischer Literatur, sodass sie sachgerechte Fragestellungen, innere Einstellungen, reflektierte Werthaltungen entwickeln und kritisch-konstruktiv mit der eigenen Lebenswelt umgehen können.</w:t>
      </w:r>
    </w:p>
    <w:p>
      <w:pPr>
        <w:numPr>
          <w:ilvl w:val="0"/>
          <w:numId w:val="2"/>
        </w:numPr>
        <w:spacing w:before="60"/>
        <w:rPr>
          <w:szCs w:val="20"/>
        </w:rPr>
      </w:pPr>
      <w:r>
        <w:rPr>
          <w:b/>
          <w:color w:val="008000"/>
          <w:szCs w:val="20"/>
        </w:rPr>
        <w:t>Fakten- und Sachwissen:</w:t>
      </w:r>
      <w:r>
        <w:rPr>
          <w:b/>
          <w:szCs w:val="20"/>
        </w:rPr>
        <w:t xml:space="preserve"> </w:t>
      </w:r>
      <w:r>
        <w:rPr>
          <w:szCs w:val="20"/>
        </w:rPr>
        <w:t>Die Schülerinnen und Schüler orientieren sich im griechisch-römischen Kulturraum und stellen Einzelheiten, Strukturen und Phänomene der behandelten Inhaltsbereiche im historischen Kontext sachgerecht dar.</w:t>
      </w:r>
    </w:p>
    <w:p>
      <w:pPr>
        <w:numPr>
          <w:ilvl w:val="0"/>
          <w:numId w:val="2"/>
        </w:numPr>
        <w:spacing w:before="60"/>
        <w:rPr>
          <w:b/>
          <w:szCs w:val="20"/>
        </w:rPr>
      </w:pPr>
      <w:r>
        <w:rPr>
          <w:b/>
          <w:color w:val="008000"/>
          <w:szCs w:val="20"/>
        </w:rPr>
        <w:t>Historischer Diskurs:</w:t>
      </w:r>
      <w:r>
        <w:rPr>
          <w:b/>
          <w:szCs w:val="20"/>
        </w:rPr>
        <w:t xml:space="preserve"> </w:t>
      </w:r>
      <w:r>
        <w:rPr>
          <w:bCs/>
          <w:szCs w:val="20"/>
        </w:rPr>
        <w:t>Die Schülerinnen und Schüler setzen sich mit der Welt der lateinischen Texte auseinander und stellen Ähnlichkeiten und Verschiedenheiten zu ihrer eigenen Lebenswelt fest.</w:t>
      </w:r>
    </w:p>
    <w:p>
      <w:pPr>
        <w:numPr>
          <w:ilvl w:val="0"/>
          <w:numId w:val="2"/>
        </w:numPr>
        <w:spacing w:before="60"/>
        <w:rPr>
          <w:szCs w:val="20"/>
        </w:rPr>
      </w:pPr>
      <w:r>
        <w:rPr>
          <w:b/>
          <w:color w:val="008000"/>
          <w:szCs w:val="20"/>
        </w:rPr>
        <w:t xml:space="preserve">Ethische Wertschätzung und existenzieller Transfer: </w:t>
      </w:r>
      <w:r>
        <w:rPr>
          <w:szCs w:val="20"/>
        </w:rPr>
        <w:t>Die Schülerinnen und Schüler gewinnen anhand des römischen Wertesystems Einblick in die wechselseitige Abhängigkeit von Weltbild und Normen. Sie prüfen Werthaltungen kritisch.</w:t>
      </w:r>
    </w:p>
    <w:p>
      <w:pPr>
        <w:numPr>
          <w:ilvl w:val="0"/>
          <w:numId w:val="2"/>
        </w:numPr>
        <w:spacing w:before="60"/>
        <w:rPr>
          <w:bCs/>
          <w:szCs w:val="20"/>
        </w:rPr>
      </w:pPr>
      <w:r>
        <w:rPr>
          <w:b/>
          <w:color w:val="008000"/>
          <w:szCs w:val="20"/>
        </w:rPr>
        <w:t xml:space="preserve">Ästhetische Wertschätzung: </w:t>
      </w:r>
      <w:r>
        <w:rPr>
          <w:szCs w:val="20"/>
        </w:rPr>
        <w:t>Die Schülerinnen und Schüler nutzen Wesensmerkmale römischer Kunst zur Entwicklung ästhetischer Maßstäbe.</w:t>
      </w:r>
    </w:p>
    <w:p>
      <w:pPr>
        <w:numPr>
          <w:ilvl w:val="0"/>
          <w:numId w:val="2"/>
        </w:numPr>
        <w:spacing w:before="60"/>
        <w:rPr>
          <w:b/>
          <w:szCs w:val="20"/>
        </w:rPr>
      </w:pPr>
      <w:r>
        <w:rPr>
          <w:b/>
          <w:color w:val="008000"/>
          <w:szCs w:val="20"/>
        </w:rPr>
        <w:t xml:space="preserve">Rezeption und Tradition: </w:t>
      </w:r>
      <w:r>
        <w:rPr>
          <w:szCs w:val="20"/>
        </w:rPr>
        <w:t>Die Schülerinnen und Schüler nehmen das Weiterwirken der römischen Antike bewusst und kritisch wahr.</w:t>
      </w:r>
    </w:p>
    <w:p/>
    <w:p>
      <w:r>
        <w:rPr>
          <w:szCs w:val="20"/>
        </w:rPr>
        <w:t xml:space="preserve">Die </w:t>
      </w:r>
      <w:r>
        <w:rPr>
          <w:b/>
          <w:color w:val="CC0066"/>
        </w:rPr>
        <w:t>fachspezifischen Methoden und Arbeitstechniken</w:t>
      </w:r>
      <w:r>
        <w:rPr>
          <w:szCs w:val="20"/>
        </w:rPr>
        <w:t xml:space="preserve"> werden in der Auseinandersetzung mit der Sprache und den Texten erlernt und angewendet. Sie sind daher integraler Bestandteil des fachbezogenen Kompetenzerwerbs.</w:t>
      </w:r>
    </w:p>
    <w:p>
      <w:pPr>
        <w:spacing w:after="200" w:line="276"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tc>
          <w:tcPr>
            <w:tcW w:w="2098" w:type="dxa"/>
            <w:tcMar>
              <w:top w:w="57" w:type="dxa"/>
              <w:bottom w:w="57" w:type="dxa"/>
            </w:tcMar>
          </w:tcPr>
          <w:p>
            <w:pPr>
              <w:jc w:val="left"/>
              <w:rPr>
                <w:color w:val="3333CC"/>
              </w:rPr>
            </w:pPr>
            <w:r>
              <w:rPr>
                <w:b/>
                <w:color w:val="3333CC"/>
              </w:rPr>
              <w:lastRenderedPageBreak/>
              <w:t>Bd.</w:t>
            </w:r>
            <w:r>
              <w:rPr>
                <w:b/>
                <w:color w:val="3333CC"/>
                <w:sz w:val="14"/>
              </w:rPr>
              <w:t xml:space="preserve"> </w:t>
            </w:r>
            <w:r>
              <w:rPr>
                <w:b/>
                <w:color w:val="3333CC"/>
              </w:rPr>
              <w:t>1 (L.</w:t>
            </w:r>
            <w:r>
              <w:rPr>
                <w:b/>
                <w:color w:val="3333CC"/>
                <w:sz w:val="14"/>
              </w:rPr>
              <w:t xml:space="preserve"> </w:t>
            </w:r>
            <w:r>
              <w:rPr>
                <w:b/>
                <w:color w:val="3333CC"/>
              </w:rPr>
              <w:t>1–13), passim</w:t>
            </w:r>
          </w:p>
          <w:p>
            <w:pPr>
              <w:spacing w:before="60"/>
              <w:jc w:val="left"/>
            </w:pPr>
          </w:p>
        </w:tc>
        <w:tc>
          <w:tcPr>
            <w:tcW w:w="6974" w:type="dxa"/>
            <w:tcMar>
              <w:top w:w="57" w:type="dxa"/>
              <w:bottom w:w="57" w:type="dxa"/>
            </w:tcMar>
          </w:tcPr>
          <w:p>
            <w:pPr>
              <w:jc w:val="left"/>
              <w:rPr>
                <w:b/>
                <w:color w:val="FF0066"/>
              </w:rPr>
            </w:pPr>
            <w:r>
              <w:rPr>
                <w:b/>
                <w:color w:val="CC0066"/>
              </w:rPr>
              <w:t>Sprachkompetenz</w:t>
            </w:r>
          </w:p>
          <w:p>
            <w:pPr>
              <w:spacing w:before="180"/>
              <w:jc w:val="left"/>
              <w:rPr>
                <w:b/>
                <w:color w:val="008000"/>
                <w:szCs w:val="20"/>
              </w:rPr>
            </w:pPr>
            <w:r>
              <w:rPr>
                <w:b/>
                <w:color w:val="008000"/>
                <w:szCs w:val="20"/>
              </w:rPr>
              <w:t>Lexik</w:t>
            </w:r>
          </w:p>
          <w:p>
            <w:pPr>
              <w:numPr>
                <w:ilvl w:val="0"/>
                <w:numId w:val="2"/>
              </w:numPr>
              <w:jc w:val="left"/>
            </w:pPr>
            <w:r>
              <w:rPr>
                <w:szCs w:val="20"/>
              </w:rPr>
              <w:t>archivieren, lernen und wiederholen Wörter unter Anleitung (z.</w:t>
            </w:r>
            <w:r>
              <w:rPr>
                <w:sz w:val="14"/>
                <w:szCs w:val="20"/>
              </w:rPr>
              <w:t> </w:t>
            </w:r>
            <w:r>
              <w:rPr>
                <w:szCs w:val="20"/>
              </w:rPr>
              <w:t xml:space="preserve">B. </w:t>
            </w:r>
            <w:r>
              <w:t>Vokabelkasten, Vokabelheft, PC-Programm) (vgl. Methodik, S.</w:t>
            </w:r>
            <w:r>
              <w:rPr>
                <w:sz w:val="14"/>
              </w:rPr>
              <w:t> </w:t>
            </w:r>
            <w:r>
              <w:t>112</w:t>
            </w:r>
            <w:r>
              <w:rPr>
                <w:sz w:val="14"/>
              </w:rPr>
              <w:t> </w:t>
            </w:r>
            <w:r>
              <w:t>f.)</w:t>
            </w:r>
          </w:p>
          <w:p>
            <w:pPr>
              <w:numPr>
                <w:ilvl w:val="0"/>
                <w:numId w:val="2"/>
              </w:numPr>
              <w:spacing w:before="60"/>
              <w:jc w:val="left"/>
            </w:pPr>
            <w:r>
              <w:rPr>
                <w:szCs w:val="20"/>
              </w:rPr>
              <w:t>wenden Betonungsregeln an und beachten Quantitäten</w:t>
            </w:r>
            <w:r>
              <w:t xml:space="preserve"> (vgl. Methodik, S.</w:t>
            </w:r>
            <w:r>
              <w:rPr>
                <w:sz w:val="14"/>
              </w:rPr>
              <w:t> </w:t>
            </w:r>
            <w:r>
              <w:t>114)</w:t>
            </w:r>
          </w:p>
          <w:p>
            <w:pPr>
              <w:numPr>
                <w:ilvl w:val="0"/>
                <w:numId w:val="2"/>
              </w:numPr>
              <w:spacing w:before="60"/>
              <w:jc w:val="left"/>
            </w:pPr>
            <w:r>
              <w:rPr>
                <w:szCs w:val="20"/>
              </w:rPr>
              <w:t xml:space="preserve">sprechen den Konsonanten </w:t>
            </w:r>
            <w:r>
              <w:rPr>
                <w:i/>
                <w:szCs w:val="20"/>
              </w:rPr>
              <w:t xml:space="preserve">s </w:t>
            </w:r>
            <w:r>
              <w:rPr>
                <w:szCs w:val="20"/>
              </w:rPr>
              <w:t xml:space="preserve">stimmlos, </w:t>
            </w:r>
            <w:r>
              <w:rPr>
                <w:i/>
                <w:szCs w:val="20"/>
              </w:rPr>
              <w:t>ti</w:t>
            </w:r>
            <w:r>
              <w:rPr>
                <w:szCs w:val="20"/>
              </w:rPr>
              <w:t xml:space="preserve"> als „ti“, </w:t>
            </w:r>
            <w:r>
              <w:rPr>
                <w:i/>
                <w:szCs w:val="20"/>
              </w:rPr>
              <w:t>c</w:t>
            </w:r>
            <w:r>
              <w:rPr>
                <w:szCs w:val="20"/>
              </w:rPr>
              <w:t xml:space="preserve"> und </w:t>
            </w:r>
            <w:r>
              <w:rPr>
                <w:i/>
                <w:szCs w:val="20"/>
              </w:rPr>
              <w:t xml:space="preserve">ch </w:t>
            </w:r>
            <w:r>
              <w:rPr>
                <w:szCs w:val="20"/>
              </w:rPr>
              <w:t xml:space="preserve">als „k“ </w:t>
            </w:r>
            <w:r>
              <w:t>(vgl. Methodik, S.</w:t>
            </w:r>
            <w:r>
              <w:rPr>
                <w:sz w:val="14"/>
              </w:rPr>
              <w:t> </w:t>
            </w:r>
            <w:r>
              <w:t>114)</w:t>
            </w:r>
          </w:p>
          <w:p>
            <w:pPr>
              <w:numPr>
                <w:ilvl w:val="0"/>
                <w:numId w:val="2"/>
              </w:numPr>
              <w:spacing w:before="60"/>
              <w:jc w:val="left"/>
            </w:pPr>
            <w:r>
              <w:rPr>
                <w:szCs w:val="20"/>
              </w:rPr>
              <w:t>entdecken ihnen bekannte lateinische Wörter im Deutschen, Englischen und ggf. in anderen Fremdsprachen</w:t>
            </w:r>
          </w:p>
          <w:p>
            <w:pPr>
              <w:numPr>
                <w:ilvl w:val="0"/>
                <w:numId w:val="2"/>
              </w:numPr>
              <w:spacing w:before="60"/>
              <w:jc w:val="left"/>
            </w:pPr>
            <w:r>
              <w:rPr>
                <w:szCs w:val="20"/>
              </w:rPr>
              <w:t>verwenden zunehmend ein metasprachliches Vokabular zur Beschreibung von behandelten sprachlichen Phänomenen und fachspezifischen Verfahren</w:t>
            </w:r>
          </w:p>
          <w:p>
            <w:pPr>
              <w:spacing w:before="180"/>
              <w:jc w:val="left"/>
              <w:rPr>
                <w:b/>
                <w:color w:val="008000"/>
                <w:szCs w:val="20"/>
              </w:rPr>
            </w:pPr>
            <w:r>
              <w:rPr>
                <w:b/>
                <w:color w:val="008000"/>
                <w:szCs w:val="20"/>
              </w:rPr>
              <w:t>Morphologie</w:t>
            </w:r>
          </w:p>
          <w:p>
            <w:pPr>
              <w:numPr>
                <w:ilvl w:val="0"/>
                <w:numId w:val="2"/>
              </w:numPr>
              <w:spacing w:before="60"/>
              <w:jc w:val="left"/>
            </w:pPr>
            <w:r>
              <w:rPr>
                <w:szCs w:val="20"/>
              </w:rPr>
              <w:t>zerlegen die u.</w:t>
            </w:r>
            <w:r>
              <w:rPr>
                <w:sz w:val="14"/>
                <w:szCs w:val="20"/>
              </w:rPr>
              <w:t> </w:t>
            </w:r>
            <w:r>
              <w:rPr>
                <w:szCs w:val="20"/>
              </w:rPr>
              <w:t>g. Formen der Substantive, Adjektive und Verben in die bekannten Bausteine</w:t>
            </w:r>
          </w:p>
          <w:p>
            <w:pPr>
              <w:numPr>
                <w:ilvl w:val="0"/>
                <w:numId w:val="2"/>
              </w:numPr>
              <w:spacing w:before="60"/>
              <w:jc w:val="left"/>
            </w:pPr>
            <w:r>
              <w:rPr>
                <w:szCs w:val="20"/>
              </w:rPr>
              <w:t>bilden mit den bekannten Bausteinen Formen und übersetzen ggf. auch Formen</w:t>
            </w:r>
          </w:p>
          <w:p>
            <w:pPr>
              <w:numPr>
                <w:ilvl w:val="0"/>
                <w:numId w:val="2"/>
              </w:numPr>
              <w:spacing w:before="60"/>
              <w:jc w:val="left"/>
            </w:pPr>
            <w:r>
              <w:rPr>
                <w:szCs w:val="20"/>
              </w:rPr>
              <w:t>bestimmen Einzelformen unter Verwendung der Metasprache und in der vorgegebenen Reihenfolge der Identifizierungsmerkmale</w:t>
            </w:r>
          </w:p>
          <w:p>
            <w:pPr>
              <w:numPr>
                <w:ilvl w:val="0"/>
                <w:numId w:val="2"/>
              </w:numPr>
              <w:spacing w:before="60"/>
              <w:jc w:val="left"/>
            </w:pPr>
            <w:r>
              <w:t>unterscheiden mehrdeutige Endungen</w:t>
            </w:r>
          </w:p>
          <w:p>
            <w:pPr>
              <w:numPr>
                <w:ilvl w:val="0"/>
                <w:numId w:val="2"/>
              </w:numPr>
              <w:spacing w:before="60"/>
              <w:jc w:val="left"/>
            </w:pPr>
            <w:r>
              <w:rPr>
                <w:szCs w:val="20"/>
              </w:rPr>
              <w:t>ordnen aufgrund der optisch und akustisch erkennbaren Quantitäten die flektierbaren Wörter den bekannten Deklinations- und Konjugationsklassen zu und bestimmen die Formen</w:t>
            </w:r>
          </w:p>
          <w:p>
            <w:pPr>
              <w:numPr>
                <w:ilvl w:val="0"/>
                <w:numId w:val="2"/>
              </w:numPr>
              <w:spacing w:before="60"/>
              <w:jc w:val="left"/>
            </w:pPr>
            <w:r>
              <w:rPr>
                <w:szCs w:val="20"/>
              </w:rPr>
              <w:t>entnehmen bei der Textarbeit den Endungen die bedeutungs- und syntaxrelevanten Informationen</w:t>
            </w:r>
          </w:p>
          <w:p>
            <w:pPr>
              <w:numPr>
                <w:ilvl w:val="0"/>
                <w:numId w:val="2"/>
              </w:numPr>
              <w:spacing w:before="60"/>
              <w:jc w:val="left"/>
            </w:pPr>
            <w:r>
              <w:rPr>
                <w:szCs w:val="20"/>
              </w:rPr>
              <w:t>ordnen die Einzelformen in das Gesamtsystem der Formen ein und bestimmen sie sicher</w:t>
            </w:r>
          </w:p>
          <w:p>
            <w:pPr>
              <w:numPr>
                <w:ilvl w:val="0"/>
                <w:numId w:val="2"/>
              </w:numPr>
              <w:spacing w:before="60"/>
              <w:jc w:val="left"/>
            </w:pPr>
            <w:r>
              <w:rPr>
                <w:szCs w:val="20"/>
              </w:rPr>
              <w:t>erlernen, festigen und wiederholen die Formen nach Anleitung mit verschiedenen Methoden und Medien (z.</w:t>
            </w:r>
            <w:r>
              <w:rPr>
                <w:sz w:val="14"/>
                <w:szCs w:val="20"/>
              </w:rPr>
              <w:t> </w:t>
            </w:r>
            <w:r>
              <w:rPr>
                <w:szCs w:val="20"/>
              </w:rPr>
              <w:t>B. Tabelle, Karteikarten, PC-Programm)</w:t>
            </w:r>
          </w:p>
          <w:p>
            <w:pPr>
              <w:spacing w:before="180"/>
              <w:jc w:val="left"/>
              <w:rPr>
                <w:b/>
                <w:color w:val="008000"/>
                <w:szCs w:val="20"/>
              </w:rPr>
            </w:pPr>
            <w:r>
              <w:rPr>
                <w:b/>
                <w:color w:val="008000"/>
                <w:szCs w:val="20"/>
              </w:rPr>
              <w:t>Syntax</w:t>
            </w:r>
          </w:p>
          <w:p>
            <w:pPr>
              <w:numPr>
                <w:ilvl w:val="0"/>
                <w:numId w:val="2"/>
              </w:numPr>
              <w:spacing w:before="60"/>
              <w:jc w:val="left"/>
            </w:pPr>
            <w:r>
              <w:t>bestimmen mehrdeutige Formen aus dem Satzzusammenhang heraus eindeutig</w:t>
            </w:r>
          </w:p>
          <w:p>
            <w:pPr>
              <w:spacing w:before="180"/>
              <w:jc w:val="left"/>
              <w:rPr>
                <w:b/>
                <w:color w:val="008000"/>
                <w:szCs w:val="20"/>
              </w:rPr>
            </w:pPr>
            <w:r>
              <w:rPr>
                <w:b/>
                <w:color w:val="008000"/>
                <w:szCs w:val="20"/>
              </w:rPr>
              <w:t>Verständigung</w:t>
            </w:r>
          </w:p>
          <w:p>
            <w:pPr>
              <w:numPr>
                <w:ilvl w:val="0"/>
                <w:numId w:val="2"/>
              </w:numPr>
              <w:spacing w:before="60"/>
              <w:jc w:val="left"/>
            </w:pPr>
            <w:r>
              <w:rPr>
                <w:szCs w:val="20"/>
              </w:rPr>
              <w:t>nennen die Thematik kurzer, lateinisch vorgetragener parataktischer Sätze auf Deutsch</w:t>
            </w:r>
          </w:p>
          <w:p>
            <w:pPr>
              <w:pStyle w:val="berschrift1"/>
              <w:jc w:val="left"/>
              <w:outlineLvl w:val="0"/>
            </w:pPr>
            <w:r>
              <w:t>Reflexion</w:t>
            </w:r>
          </w:p>
          <w:p>
            <w:pPr>
              <w:numPr>
                <w:ilvl w:val="0"/>
                <w:numId w:val="2"/>
              </w:numPr>
              <w:spacing w:before="60"/>
              <w:jc w:val="left"/>
            </w:pPr>
            <w:r>
              <w:rPr>
                <w:szCs w:val="20"/>
              </w:rPr>
              <w:t>belegen z.</w:t>
            </w:r>
            <w:r>
              <w:rPr>
                <w:sz w:val="14"/>
                <w:szCs w:val="20"/>
              </w:rPr>
              <w:t> </w:t>
            </w:r>
            <w:r>
              <w:rPr>
                <w:szCs w:val="20"/>
              </w:rPr>
              <w:t>B. durch Lehn- und Fremdwörter, dass Sprachen sich gegenseitig beeinflussen</w:t>
            </w:r>
          </w:p>
          <w:p>
            <w:pPr>
              <w:numPr>
                <w:ilvl w:val="0"/>
                <w:numId w:val="2"/>
              </w:numPr>
              <w:spacing w:before="60"/>
              <w:jc w:val="left"/>
            </w:pPr>
            <w:r>
              <w:t>erklären an einfachen deutschen und lateinischen Wörtern die Bildhaftigkeit der Sprache</w:t>
            </w:r>
          </w:p>
        </w:tc>
      </w:tr>
    </w:tbl>
    <w:p>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tc>
          <w:tcPr>
            <w:tcW w:w="2098" w:type="dxa"/>
            <w:tcMar>
              <w:top w:w="57" w:type="dxa"/>
              <w:bottom w:w="57" w:type="dxa"/>
            </w:tcMar>
          </w:tcPr>
          <w:p>
            <w:pPr>
              <w:jc w:val="left"/>
              <w:rPr>
                <w:color w:val="3333CC"/>
              </w:rPr>
            </w:pPr>
            <w:r>
              <w:rPr>
                <w:b/>
                <w:color w:val="3333CC"/>
              </w:rPr>
              <w:lastRenderedPageBreak/>
              <w:t>Bd.</w:t>
            </w:r>
            <w:r>
              <w:rPr>
                <w:b/>
                <w:color w:val="3333CC"/>
                <w:sz w:val="14"/>
              </w:rPr>
              <w:t xml:space="preserve"> </w:t>
            </w:r>
            <w:r>
              <w:rPr>
                <w:b/>
                <w:color w:val="3333CC"/>
              </w:rPr>
              <w:t>1 (L.</w:t>
            </w:r>
            <w:r>
              <w:rPr>
                <w:b/>
                <w:color w:val="3333CC"/>
                <w:sz w:val="14"/>
              </w:rPr>
              <w:t xml:space="preserve"> </w:t>
            </w:r>
            <w:r>
              <w:rPr>
                <w:b/>
                <w:color w:val="3333CC"/>
              </w:rPr>
              <w:t>1–13), passim</w:t>
            </w:r>
          </w:p>
          <w:p>
            <w:pPr>
              <w:jc w:val="left"/>
            </w:pPr>
          </w:p>
        </w:tc>
        <w:tc>
          <w:tcPr>
            <w:tcW w:w="6974" w:type="dxa"/>
            <w:tcMar>
              <w:top w:w="57" w:type="dxa"/>
              <w:bottom w:w="57" w:type="dxa"/>
            </w:tcMar>
          </w:tcPr>
          <w:p>
            <w:pPr>
              <w:jc w:val="left"/>
              <w:rPr>
                <w:b/>
                <w:color w:val="FF0066"/>
              </w:rPr>
            </w:pPr>
            <w:r>
              <w:rPr>
                <w:b/>
                <w:color w:val="CC0066"/>
              </w:rPr>
              <w:t>Textkompetenz</w:t>
            </w:r>
          </w:p>
          <w:p>
            <w:pPr>
              <w:spacing w:before="180"/>
              <w:jc w:val="left"/>
              <w:rPr>
                <w:b/>
                <w:color w:val="008000"/>
                <w:szCs w:val="20"/>
              </w:rPr>
            </w:pPr>
            <w:r>
              <w:rPr>
                <w:b/>
                <w:color w:val="008000"/>
                <w:szCs w:val="20"/>
              </w:rPr>
              <w:t>Progression</w:t>
            </w:r>
          </w:p>
          <w:p>
            <w:pPr>
              <w:numPr>
                <w:ilvl w:val="0"/>
                <w:numId w:val="2"/>
              </w:numPr>
              <w:jc w:val="left"/>
            </w:pPr>
            <w:r>
              <w:rPr>
                <w:szCs w:val="20"/>
              </w:rPr>
              <w:t>erschließen Lehrbuchtexte, übersetzen sie adäquat ins Deutsche und interpretieren sie</w:t>
            </w:r>
          </w:p>
          <w:p>
            <w:pPr>
              <w:numPr>
                <w:ilvl w:val="0"/>
                <w:numId w:val="2"/>
              </w:numPr>
              <w:spacing w:before="60"/>
              <w:jc w:val="left"/>
            </w:pPr>
            <w:r>
              <w:rPr>
                <w:szCs w:val="20"/>
              </w:rPr>
              <w:t>gewinnen einen ersten Einblick in die römische Welt und in Themen der lateinischen Literatur</w:t>
            </w:r>
          </w:p>
          <w:p>
            <w:pPr>
              <w:spacing w:before="180"/>
              <w:jc w:val="left"/>
              <w:rPr>
                <w:b/>
                <w:color w:val="008000"/>
                <w:szCs w:val="20"/>
              </w:rPr>
            </w:pPr>
            <w:r>
              <w:rPr>
                <w:b/>
                <w:color w:val="008000"/>
                <w:szCs w:val="20"/>
              </w:rPr>
              <w:t>Erschließen</w:t>
            </w:r>
          </w:p>
          <w:p>
            <w:pPr>
              <w:numPr>
                <w:ilvl w:val="0"/>
                <w:numId w:val="2"/>
              </w:numPr>
              <w:spacing w:before="60"/>
              <w:jc w:val="left"/>
            </w:pPr>
            <w:r>
              <w:t>ziehen vorgegebene Informationsträger heran (Überschrift, Einleitungstext, Illustrationen)</w:t>
            </w:r>
          </w:p>
          <w:p>
            <w:pPr>
              <w:numPr>
                <w:ilvl w:val="0"/>
                <w:numId w:val="2"/>
              </w:numPr>
              <w:spacing w:before="60"/>
              <w:jc w:val="left"/>
            </w:pPr>
            <w:r>
              <w:t>formulieren ausgehend von den im Textumfeld gegebenen Informationen Fragen und Erwartungen zum Inhalt des Textes</w:t>
            </w:r>
          </w:p>
          <w:p>
            <w:pPr>
              <w:numPr>
                <w:ilvl w:val="0"/>
                <w:numId w:val="2"/>
              </w:numPr>
              <w:spacing w:before="60"/>
              <w:jc w:val="left"/>
            </w:pPr>
            <w:r>
              <w:t>nennen nach dem ersten Hören und/oder Lesen ihre Vermutungen zum Inhalt und belegen diese</w:t>
            </w:r>
          </w:p>
          <w:p>
            <w:pPr>
              <w:numPr>
                <w:ilvl w:val="0"/>
                <w:numId w:val="2"/>
              </w:numPr>
              <w:spacing w:before="60"/>
              <w:jc w:val="left"/>
            </w:pPr>
            <w:r>
              <w:t>entnehmen dem Text aufgabenbezogen Einzelinformationen zum Inhalt (</w:t>
            </w:r>
            <w:r>
              <w:rPr>
                <w:szCs w:val="20"/>
              </w:rPr>
              <w:t>z.</w:t>
            </w:r>
            <w:r>
              <w:rPr>
                <w:sz w:val="14"/>
                <w:szCs w:val="20"/>
              </w:rPr>
              <w:t> </w:t>
            </w:r>
            <w:r>
              <w:rPr>
                <w:szCs w:val="20"/>
              </w:rPr>
              <w:t>B.</w:t>
            </w:r>
            <w:r>
              <w:t xml:space="preserve"> Handlungsträger, Ort, Zeit)</w:t>
            </w:r>
          </w:p>
          <w:p>
            <w:pPr>
              <w:numPr>
                <w:ilvl w:val="0"/>
                <w:numId w:val="2"/>
              </w:numPr>
              <w:spacing w:before="60"/>
              <w:jc w:val="left"/>
            </w:pPr>
            <w:r>
              <w:t>arbeiten aufgabenbezogen vorherrschende Textmerkmale heraus (</w:t>
            </w:r>
            <w:r>
              <w:rPr>
                <w:szCs w:val="20"/>
              </w:rPr>
              <w:t>z.</w:t>
            </w:r>
            <w:r>
              <w:rPr>
                <w:sz w:val="14"/>
                <w:szCs w:val="20"/>
              </w:rPr>
              <w:t> </w:t>
            </w:r>
            <w:r>
              <w:rPr>
                <w:szCs w:val="20"/>
              </w:rPr>
              <w:t>B.</w:t>
            </w:r>
            <w:r>
              <w:t xml:space="preserve"> Personalmorpheme, Sachfelder)</w:t>
            </w:r>
          </w:p>
          <w:p>
            <w:pPr>
              <w:numPr>
                <w:ilvl w:val="0"/>
                <w:numId w:val="2"/>
              </w:numPr>
              <w:spacing w:before="60"/>
              <w:jc w:val="left"/>
            </w:pPr>
            <w:r>
              <w:t>analysieren einfache Textstrukturen anhand von Konnektoren</w:t>
            </w:r>
          </w:p>
          <w:p>
            <w:pPr>
              <w:numPr>
                <w:ilvl w:val="0"/>
                <w:numId w:val="2"/>
              </w:numPr>
              <w:spacing w:before="60"/>
              <w:jc w:val="left"/>
            </w:pPr>
            <w:r>
              <w:t>verwenden einfache visuelle Analysetechniken (Unterstreichen, Markieren, Abtrennen) (vgl. Methodik, S.</w:t>
            </w:r>
            <w:r>
              <w:rPr>
                <w:sz w:val="14"/>
              </w:rPr>
              <w:t> </w:t>
            </w:r>
            <w:r>
              <w:t>116)</w:t>
            </w:r>
          </w:p>
          <w:p>
            <w:pPr>
              <w:spacing w:before="180"/>
              <w:jc w:val="left"/>
              <w:rPr>
                <w:b/>
                <w:color w:val="008000"/>
                <w:szCs w:val="20"/>
              </w:rPr>
            </w:pPr>
            <w:r>
              <w:rPr>
                <w:b/>
                <w:color w:val="008000"/>
                <w:szCs w:val="20"/>
              </w:rPr>
              <w:t>Übersetzen</w:t>
            </w:r>
          </w:p>
          <w:p>
            <w:pPr>
              <w:numPr>
                <w:ilvl w:val="0"/>
                <w:numId w:val="2"/>
              </w:numPr>
              <w:spacing w:before="60"/>
              <w:jc w:val="left"/>
            </w:pPr>
            <w:r>
              <w:t>gehen bei der Übersetzung systematisch vor (</w:t>
            </w:r>
            <w:r>
              <w:rPr>
                <w:szCs w:val="20"/>
              </w:rPr>
              <w:t>z.</w:t>
            </w:r>
            <w:r>
              <w:rPr>
                <w:sz w:val="14"/>
                <w:szCs w:val="20"/>
              </w:rPr>
              <w:t> </w:t>
            </w:r>
            <w:r>
              <w:rPr>
                <w:szCs w:val="20"/>
              </w:rPr>
              <w:t>B.</w:t>
            </w:r>
            <w:r>
              <w:t xml:space="preserve"> nach der Pendelmethode) (vgl. Methodik, S.</w:t>
            </w:r>
            <w:r>
              <w:rPr>
                <w:sz w:val="14"/>
              </w:rPr>
              <w:t> </w:t>
            </w:r>
            <w:r>
              <w:t>116</w:t>
            </w:r>
            <w:r>
              <w:rPr>
                <w:sz w:val="14"/>
              </w:rPr>
              <w:t> </w:t>
            </w:r>
            <w:r>
              <w:t>f.)</w:t>
            </w:r>
          </w:p>
          <w:p>
            <w:pPr>
              <w:numPr>
                <w:ilvl w:val="0"/>
                <w:numId w:val="2"/>
              </w:numPr>
              <w:spacing w:before="60"/>
              <w:jc w:val="left"/>
            </w:pPr>
            <w:r>
              <w:rPr>
                <w:szCs w:val="20"/>
              </w:rPr>
              <w:t>wenden lexikalisches, morphologisches und syntaktisches Regelwissen (häufig als Faustregeln formuliert) an</w:t>
            </w:r>
          </w:p>
          <w:p>
            <w:pPr>
              <w:numPr>
                <w:ilvl w:val="0"/>
                <w:numId w:val="2"/>
              </w:numPr>
              <w:spacing w:before="60"/>
              <w:jc w:val="left"/>
            </w:pPr>
            <w:r>
              <w:t>lösen Strukturdifferenzen zielsprachlich angemessen auf (Wortstellung, Kasusgebrauch, narratives Perfekt)</w:t>
            </w:r>
          </w:p>
          <w:p>
            <w:pPr>
              <w:numPr>
                <w:ilvl w:val="0"/>
                <w:numId w:val="2"/>
              </w:numPr>
              <w:spacing w:before="60"/>
              <w:jc w:val="left"/>
            </w:pPr>
            <w:r>
              <w:rPr>
                <w:szCs w:val="20"/>
              </w:rPr>
              <w:t>stellen eine von ihnen erarbeitete Übersetzung vor und begründen diese</w:t>
            </w:r>
          </w:p>
          <w:p>
            <w:pPr>
              <w:numPr>
                <w:ilvl w:val="0"/>
                <w:numId w:val="2"/>
              </w:numPr>
              <w:spacing w:before="60"/>
              <w:jc w:val="left"/>
            </w:pPr>
            <w:r>
              <w:rPr>
                <w:szCs w:val="20"/>
              </w:rPr>
              <w:t>geben zu Übersetzungsvorschlägen der Mitschülerinnen und Mitschüler erkenntnisleitende Hinweise</w:t>
            </w:r>
          </w:p>
          <w:p>
            <w:pPr>
              <w:numPr>
                <w:ilvl w:val="0"/>
                <w:numId w:val="2"/>
              </w:numPr>
              <w:spacing w:before="60"/>
              <w:jc w:val="left"/>
            </w:pPr>
            <w:r>
              <w:rPr>
                <w:szCs w:val="20"/>
              </w:rPr>
              <w:t>greifen Verbesserungen auf</w:t>
            </w:r>
          </w:p>
          <w:p>
            <w:pPr>
              <w:numPr>
                <w:ilvl w:val="0"/>
                <w:numId w:val="2"/>
              </w:numPr>
              <w:spacing w:before="60"/>
              <w:jc w:val="left"/>
            </w:pPr>
            <w:r>
              <w:rPr>
                <w:szCs w:val="20"/>
              </w:rPr>
              <w:t>formulieren eine sachlich korrekte und zielsprachlich angemessene Version</w:t>
            </w:r>
            <w:r>
              <w:t xml:space="preserve"> (Übersetzung) (vgl. Methodik, S.</w:t>
            </w:r>
            <w:r>
              <w:rPr>
                <w:sz w:val="14"/>
              </w:rPr>
              <w:t> </w:t>
            </w:r>
            <w:r>
              <w:t>117)</w:t>
            </w:r>
          </w:p>
          <w:p>
            <w:pPr>
              <w:spacing w:before="180"/>
              <w:jc w:val="left"/>
              <w:rPr>
                <w:b/>
                <w:color w:val="008000"/>
                <w:szCs w:val="20"/>
              </w:rPr>
            </w:pPr>
            <w:r>
              <w:rPr>
                <w:b/>
                <w:color w:val="008000"/>
                <w:szCs w:val="20"/>
              </w:rPr>
              <w:t>Interpretieren</w:t>
            </w:r>
          </w:p>
          <w:p>
            <w:pPr>
              <w:numPr>
                <w:ilvl w:val="0"/>
                <w:numId w:val="2"/>
              </w:numPr>
              <w:spacing w:before="60"/>
              <w:jc w:val="left"/>
            </w:pPr>
            <w:r>
              <w:t>benennen das Thema des Textes</w:t>
            </w:r>
          </w:p>
          <w:p>
            <w:pPr>
              <w:numPr>
                <w:ilvl w:val="0"/>
                <w:numId w:val="2"/>
              </w:numPr>
              <w:spacing w:before="60"/>
              <w:jc w:val="left"/>
            </w:pPr>
            <w:r>
              <w:t>teilen den Text unter vorgegebenen Kategorien in Abschnitte ein (</w:t>
            </w:r>
            <w:r>
              <w:rPr>
                <w:szCs w:val="20"/>
              </w:rPr>
              <w:t>z.</w:t>
            </w:r>
            <w:r>
              <w:rPr>
                <w:sz w:val="14"/>
                <w:szCs w:val="20"/>
              </w:rPr>
              <w:t> </w:t>
            </w:r>
            <w:r>
              <w:rPr>
                <w:szCs w:val="20"/>
              </w:rPr>
              <w:t>B.</w:t>
            </w:r>
            <w:r>
              <w:t xml:space="preserve"> Handlungsträger, Orte)</w:t>
            </w:r>
          </w:p>
          <w:p>
            <w:pPr>
              <w:numPr>
                <w:ilvl w:val="0"/>
                <w:numId w:val="2"/>
              </w:numPr>
              <w:spacing w:before="60"/>
              <w:jc w:val="left"/>
            </w:pPr>
            <w:r>
              <w:t>geben den Inhalt des übersetzten Textes in eigenen Worten wieder</w:t>
            </w:r>
          </w:p>
          <w:p>
            <w:pPr>
              <w:numPr>
                <w:ilvl w:val="0"/>
                <w:numId w:val="2"/>
              </w:numPr>
              <w:spacing w:before="60"/>
              <w:jc w:val="left"/>
            </w:pPr>
            <w:r>
              <w:t>nehmen aufgabenbezogen Stellung</w:t>
            </w:r>
          </w:p>
          <w:p>
            <w:pPr>
              <w:numPr>
                <w:ilvl w:val="0"/>
                <w:numId w:val="2"/>
              </w:numPr>
              <w:spacing w:before="60"/>
              <w:jc w:val="left"/>
            </w:pPr>
            <w:r>
              <w:t>vergleichen moderne Problemstellungen und Problemlösungen mit antiken</w:t>
            </w:r>
          </w:p>
        </w:tc>
      </w:tr>
    </w:tbl>
    <w:p>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tc>
          <w:tcPr>
            <w:tcW w:w="2098" w:type="dxa"/>
            <w:vMerge w:val="restart"/>
            <w:tcMar>
              <w:top w:w="57" w:type="dxa"/>
              <w:bottom w:w="57" w:type="dxa"/>
            </w:tcMar>
          </w:tcPr>
          <w:p>
            <w:pPr>
              <w:jc w:val="left"/>
              <w:rPr>
                <w:color w:val="3333CC"/>
              </w:rPr>
            </w:pPr>
            <w:r>
              <w:rPr>
                <w:b/>
                <w:color w:val="3333CC"/>
              </w:rPr>
              <w:lastRenderedPageBreak/>
              <w:t>Bd.</w:t>
            </w:r>
            <w:r>
              <w:rPr>
                <w:b/>
                <w:color w:val="3333CC"/>
                <w:sz w:val="14"/>
              </w:rPr>
              <w:t xml:space="preserve"> </w:t>
            </w:r>
            <w:r>
              <w:rPr>
                <w:b/>
                <w:color w:val="3333CC"/>
              </w:rPr>
              <w:t>1 (L.</w:t>
            </w:r>
            <w:r>
              <w:rPr>
                <w:b/>
                <w:color w:val="3333CC"/>
                <w:sz w:val="14"/>
              </w:rPr>
              <w:t xml:space="preserve"> </w:t>
            </w:r>
            <w:r>
              <w:rPr>
                <w:b/>
                <w:color w:val="3333CC"/>
              </w:rPr>
              <w:t>1–13), passim</w:t>
            </w:r>
          </w:p>
          <w:p>
            <w:pPr>
              <w:jc w:val="left"/>
            </w:pPr>
          </w:p>
        </w:tc>
        <w:tc>
          <w:tcPr>
            <w:tcW w:w="6974" w:type="dxa"/>
            <w:tcMar>
              <w:top w:w="57" w:type="dxa"/>
              <w:bottom w:w="57" w:type="dxa"/>
            </w:tcMar>
          </w:tcPr>
          <w:p>
            <w:pPr>
              <w:jc w:val="left"/>
              <w:rPr>
                <w:b/>
                <w:color w:val="FF0066"/>
              </w:rPr>
            </w:pPr>
            <w:r>
              <w:rPr>
                <w:b/>
                <w:color w:val="CC0066"/>
              </w:rPr>
              <w:t>Kulturkompetenz</w:t>
            </w:r>
          </w:p>
          <w:p>
            <w:pPr>
              <w:spacing w:before="180"/>
              <w:jc w:val="left"/>
              <w:rPr>
                <w:b/>
                <w:color w:val="008000"/>
                <w:szCs w:val="20"/>
              </w:rPr>
            </w:pPr>
            <w:r>
              <w:rPr>
                <w:b/>
                <w:color w:val="008000"/>
                <w:szCs w:val="20"/>
              </w:rPr>
              <w:t>Fakten- und Sachwissen</w:t>
            </w:r>
          </w:p>
          <w:p>
            <w:pPr>
              <w:numPr>
                <w:ilvl w:val="0"/>
                <w:numId w:val="2"/>
              </w:numPr>
              <w:spacing w:before="60"/>
              <w:jc w:val="left"/>
            </w:pPr>
            <w:r>
              <w:t>nutzen das Lehrbuch als Informationsquelle (Eigennamenverzeichnisse, Abbildungen, Karten)</w:t>
            </w:r>
          </w:p>
          <w:p>
            <w:pPr>
              <w:numPr>
                <w:ilvl w:val="0"/>
                <w:numId w:val="2"/>
              </w:numPr>
              <w:spacing w:before="60"/>
              <w:jc w:val="left"/>
              <w:rPr>
                <w:szCs w:val="20"/>
              </w:rPr>
            </w:pPr>
            <w:r>
              <w:rPr>
                <w:szCs w:val="20"/>
              </w:rPr>
              <w:t>filtern angeleitet aus erklärenden Darstellungen und Medien (z.</w:t>
            </w:r>
            <w:r>
              <w:rPr>
                <w:sz w:val="14"/>
                <w:szCs w:val="20"/>
              </w:rPr>
              <w:t> </w:t>
            </w:r>
            <w:r>
              <w:rPr>
                <w:szCs w:val="20"/>
              </w:rPr>
              <w:t xml:space="preserve">B. </w:t>
            </w:r>
            <w:r>
              <w:t>Lehrervortrag, Texte, Bilder, Filme) thematisch</w:t>
            </w:r>
            <w:r>
              <w:rPr>
                <w:szCs w:val="20"/>
              </w:rPr>
              <w:t xml:space="preserve"> relevante Sachinformationen heraus</w:t>
            </w:r>
          </w:p>
          <w:p>
            <w:pPr>
              <w:numPr>
                <w:ilvl w:val="0"/>
                <w:numId w:val="2"/>
              </w:numPr>
              <w:spacing w:before="60"/>
              <w:jc w:val="left"/>
              <w:rPr>
                <w:szCs w:val="20"/>
              </w:rPr>
            </w:pPr>
            <w:r>
              <w:rPr>
                <w:szCs w:val="20"/>
              </w:rPr>
              <w:t>stellen gemeinsam erarbeitete Inhalte nach sachlichen Gesichtspunkten verständlich vor</w:t>
            </w:r>
          </w:p>
          <w:p>
            <w:pPr>
              <w:spacing w:before="180"/>
              <w:jc w:val="left"/>
              <w:rPr>
                <w:b/>
                <w:color w:val="008000"/>
                <w:szCs w:val="20"/>
              </w:rPr>
            </w:pPr>
            <w:r>
              <w:rPr>
                <w:b/>
                <w:color w:val="008000"/>
                <w:szCs w:val="20"/>
              </w:rPr>
              <w:t>Ethische Wertschätzung und existenzieller Transfer</w:t>
            </w:r>
          </w:p>
          <w:p>
            <w:pPr>
              <w:numPr>
                <w:ilvl w:val="0"/>
                <w:numId w:val="2"/>
              </w:numPr>
              <w:spacing w:before="60"/>
              <w:jc w:val="left"/>
            </w:pPr>
            <w:r>
              <w:t>benennen das Fremde in den Verhaltensweisen und Regeln der Römer</w:t>
            </w:r>
          </w:p>
          <w:p>
            <w:pPr>
              <w:numPr>
                <w:ilvl w:val="0"/>
                <w:numId w:val="2"/>
              </w:numPr>
              <w:spacing w:before="60"/>
              <w:jc w:val="left"/>
            </w:pPr>
            <w:r>
              <w:br w:type="page"/>
              <w:t>stellen die Andersartigkeit der römischen Kultur heraus und benennen die Unterschiede zur eigenen Kultur</w:t>
            </w:r>
          </w:p>
          <w:p>
            <w:pPr>
              <w:spacing w:before="180"/>
              <w:jc w:val="left"/>
              <w:rPr>
                <w:b/>
                <w:color w:val="008000"/>
                <w:szCs w:val="20"/>
              </w:rPr>
            </w:pPr>
            <w:r>
              <w:rPr>
                <w:b/>
                <w:color w:val="008000"/>
                <w:szCs w:val="20"/>
              </w:rPr>
              <w:t>Rezeption und Tradition</w:t>
            </w:r>
          </w:p>
          <w:p>
            <w:pPr>
              <w:numPr>
                <w:ilvl w:val="0"/>
                <w:numId w:val="2"/>
              </w:numPr>
              <w:spacing w:before="60"/>
              <w:jc w:val="left"/>
              <w:rPr>
                <w:szCs w:val="20"/>
              </w:rPr>
            </w:pPr>
            <w:r>
              <w:rPr>
                <w:szCs w:val="20"/>
              </w:rPr>
              <w:t>identifizieren Elemente aus der eigenen Umwelt (z.</w:t>
            </w:r>
            <w:r>
              <w:rPr>
                <w:sz w:val="14"/>
                <w:szCs w:val="20"/>
              </w:rPr>
              <w:t> </w:t>
            </w:r>
            <w:r>
              <w:rPr>
                <w:szCs w:val="20"/>
              </w:rPr>
              <w:t xml:space="preserve">B. Namen, Produktnamen, lateinische Inschriften, </w:t>
            </w:r>
            <w:r>
              <w:t>Architekturelemente</w:t>
            </w:r>
            <w:r>
              <w:rPr>
                <w:szCs w:val="20"/>
              </w:rPr>
              <w:t>) als Rezeptionszeugnisse</w:t>
            </w:r>
          </w:p>
          <w:p>
            <w:pPr>
              <w:numPr>
                <w:ilvl w:val="0"/>
                <w:numId w:val="2"/>
              </w:numPr>
              <w:spacing w:before="60"/>
              <w:jc w:val="left"/>
            </w:pPr>
            <w:r>
              <w:rPr>
                <w:szCs w:val="20"/>
              </w:rPr>
              <w:t>erkennen die kulturhistorische Bedeutung der antiken Weltmetropole Rom</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Anmerkungen/Sonstiges</w:t>
            </w:r>
          </w:p>
          <w:p>
            <w:pPr>
              <w:spacing w:before="60"/>
              <w:jc w:val="left"/>
              <w:rPr>
                <w:szCs w:val="20"/>
              </w:rPr>
            </w:pPr>
          </w:p>
          <w:p>
            <w:pPr>
              <w:spacing w:before="60"/>
              <w:jc w:val="left"/>
              <w:rPr>
                <w:szCs w:val="20"/>
              </w:rPr>
            </w:pPr>
          </w:p>
          <w:p>
            <w:pPr>
              <w:spacing w:before="60"/>
              <w:jc w:val="left"/>
              <w:rPr>
                <w:szCs w:val="20"/>
              </w:rPr>
            </w:pPr>
          </w:p>
          <w:p>
            <w:pPr>
              <w:spacing w:before="60"/>
              <w:jc w:val="left"/>
            </w:pPr>
          </w:p>
        </w:tc>
      </w:tr>
    </w:tbl>
    <w:p/>
    <w:p>
      <w:pPr>
        <w:spacing w:after="200" w:line="276"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tc>
          <w:tcPr>
            <w:tcW w:w="2098" w:type="dxa"/>
            <w:vMerge w:val="restart"/>
            <w:tcMar>
              <w:top w:w="57" w:type="dxa"/>
              <w:bottom w:w="57" w:type="dxa"/>
            </w:tcMar>
          </w:tcPr>
          <w:p>
            <w:pPr>
              <w:jc w:val="left"/>
              <w:rPr>
                <w:b/>
                <w:color w:val="3333CC"/>
              </w:rPr>
            </w:pPr>
            <w:r>
              <w:rPr>
                <w:b/>
                <w:color w:val="3333CC"/>
              </w:rPr>
              <w:lastRenderedPageBreak/>
              <w:t>Salve! Willkommen im alten Rom!</w:t>
            </w:r>
          </w:p>
          <w:p>
            <w:pPr>
              <w:numPr>
                <w:ilvl w:val="0"/>
                <w:numId w:val="2"/>
              </w:numPr>
              <w:spacing w:before="60"/>
              <w:jc w:val="left"/>
            </w:pPr>
            <w:r>
              <w:t>Subj. und Präd.</w:t>
            </w:r>
          </w:p>
          <w:p>
            <w:pPr>
              <w:numPr>
                <w:ilvl w:val="0"/>
                <w:numId w:val="2"/>
              </w:numPr>
              <w:spacing w:before="60"/>
              <w:jc w:val="left"/>
            </w:pPr>
            <w:r>
              <w:t>„verstecktes“ Subj.</w:t>
            </w:r>
          </w:p>
          <w:p>
            <w:pPr>
              <w:numPr>
                <w:ilvl w:val="0"/>
                <w:numId w:val="2"/>
              </w:numPr>
              <w:spacing w:before="60"/>
              <w:jc w:val="left"/>
            </w:pPr>
            <w:r>
              <w:t>Subst. als PN</w:t>
            </w:r>
          </w:p>
        </w:tc>
        <w:tc>
          <w:tcPr>
            <w:tcW w:w="6974" w:type="dxa"/>
            <w:tcMar>
              <w:top w:w="57" w:type="dxa"/>
              <w:bottom w:w="57" w:type="dxa"/>
            </w:tcMar>
          </w:tcPr>
          <w:p>
            <w:pPr>
              <w:jc w:val="left"/>
              <w:rPr>
                <w:b/>
                <w:color w:val="FF0066"/>
              </w:rPr>
            </w:pPr>
            <w:r>
              <w:rPr>
                <w:b/>
                <w:color w:val="CC0066"/>
              </w:rPr>
              <w:t>Sprachkompetenz</w:t>
            </w:r>
          </w:p>
          <w:p>
            <w:pPr>
              <w:numPr>
                <w:ilvl w:val="0"/>
                <w:numId w:val="2"/>
              </w:numPr>
              <w:spacing w:before="60"/>
              <w:jc w:val="left"/>
              <w:rPr>
                <w:szCs w:val="20"/>
              </w:rPr>
            </w:pPr>
            <w:r>
              <w:rPr>
                <w:szCs w:val="20"/>
              </w:rPr>
              <w:t>21 neue Vok.</w:t>
            </w:r>
          </w:p>
          <w:p>
            <w:pPr>
              <w:numPr>
                <w:ilvl w:val="0"/>
                <w:numId w:val="2"/>
              </w:numPr>
              <w:spacing w:before="60"/>
              <w:jc w:val="left"/>
            </w:pPr>
            <w:r>
              <w:rPr>
                <w:szCs w:val="20"/>
              </w:rPr>
              <w:t>archivieren, lernen und wiederholen Wörter unter Anleitung (z.</w:t>
            </w:r>
            <w:r>
              <w:rPr>
                <w:sz w:val="14"/>
                <w:szCs w:val="20"/>
              </w:rPr>
              <w:t> </w:t>
            </w:r>
            <w:r>
              <w:rPr>
                <w:szCs w:val="20"/>
              </w:rPr>
              <w:t xml:space="preserve">B. </w:t>
            </w:r>
            <w:r>
              <w:t>Vokabelkasten, Vokabelheft, PC-Programm)</w:t>
            </w:r>
          </w:p>
          <w:p>
            <w:pPr>
              <w:numPr>
                <w:ilvl w:val="0"/>
                <w:numId w:val="2"/>
              </w:numPr>
              <w:spacing w:before="60"/>
              <w:jc w:val="left"/>
            </w:pPr>
            <w:r>
              <w:rPr>
                <w:szCs w:val="20"/>
              </w:rPr>
              <w:t>identifizieren als syntaktisches Minimum des Satzes den Satzkern (Subj. und Präd.)</w:t>
            </w:r>
          </w:p>
          <w:p>
            <w:pPr>
              <w:numPr>
                <w:ilvl w:val="0"/>
                <w:numId w:val="2"/>
              </w:numPr>
              <w:spacing w:before="60"/>
              <w:jc w:val="left"/>
            </w:pPr>
            <w:r>
              <w:t>identifizieren und benennen als Füllungsmöglichkeiten des Satzglieds Subjekt:</w:t>
            </w:r>
          </w:p>
          <w:p>
            <w:pPr>
              <w:numPr>
                <w:ilvl w:val="0"/>
                <w:numId w:val="1"/>
              </w:numPr>
              <w:ind w:left="340" w:hanging="170"/>
              <w:jc w:val="left"/>
            </w:pPr>
            <w:r>
              <w:t>Substantiv im Nominativ</w:t>
            </w:r>
          </w:p>
          <w:p>
            <w:pPr>
              <w:numPr>
                <w:ilvl w:val="0"/>
                <w:numId w:val="1"/>
              </w:numPr>
              <w:ind w:left="340" w:hanging="170"/>
              <w:jc w:val="left"/>
            </w:pPr>
            <w:r>
              <w:t>Subjekt aus vorhergehendem Satz in Personalendung ausgedrückt</w:t>
            </w:r>
          </w:p>
          <w:p>
            <w:pPr>
              <w:numPr>
                <w:ilvl w:val="0"/>
                <w:numId w:val="2"/>
              </w:numPr>
              <w:spacing w:before="60"/>
              <w:jc w:val="left"/>
            </w:pPr>
            <w:r>
              <w:t>identifizieren und benennen als Füllungsmöglichkeiten des Satzglieds Prädikat:</w:t>
            </w:r>
          </w:p>
          <w:p>
            <w:pPr>
              <w:numPr>
                <w:ilvl w:val="0"/>
                <w:numId w:val="1"/>
              </w:numPr>
              <w:ind w:left="340" w:hanging="170"/>
              <w:jc w:val="left"/>
            </w:pPr>
            <w:r>
              <w:rPr>
                <w:szCs w:val="20"/>
              </w:rPr>
              <w:t>einteiliges Präd. aus einem Vollverb</w:t>
            </w:r>
          </w:p>
          <w:p>
            <w:pPr>
              <w:numPr>
                <w:ilvl w:val="0"/>
                <w:numId w:val="1"/>
              </w:numPr>
              <w:ind w:left="340" w:hanging="170"/>
              <w:jc w:val="left"/>
            </w:pPr>
            <w:r>
              <w:rPr>
                <w:szCs w:val="20"/>
              </w:rPr>
              <w:t xml:space="preserve">zweiteiliges Präd. aus </w:t>
            </w:r>
            <w:r>
              <w:rPr>
                <w:i/>
                <w:szCs w:val="20"/>
              </w:rPr>
              <w:t>esse</w:t>
            </w:r>
            <w:r>
              <w:rPr>
                <w:szCs w:val="20"/>
              </w:rPr>
              <w:t xml:space="preserve"> und PN</w:t>
            </w:r>
          </w:p>
          <w:p>
            <w:pPr>
              <w:numPr>
                <w:ilvl w:val="0"/>
                <w:numId w:val="2"/>
              </w:numPr>
              <w:spacing w:before="60"/>
              <w:jc w:val="left"/>
            </w:pPr>
            <w:r>
              <w:rPr>
                <w:szCs w:val="20"/>
              </w:rPr>
              <w:t>verstehen einfache lateinische Aufforderungen, Begrüßungs- und Verabschiedungsrituale</w:t>
            </w:r>
          </w:p>
          <w:p>
            <w:pPr>
              <w:numPr>
                <w:ilvl w:val="0"/>
                <w:numId w:val="2"/>
              </w:numPr>
              <w:spacing w:before="60"/>
              <w:jc w:val="left"/>
            </w:pPr>
            <w:r>
              <w:rPr>
                <w:szCs w:val="20"/>
              </w:rPr>
              <w:t>bilden kurze lateinische Sätze (z.</w:t>
            </w:r>
            <w:r>
              <w:rPr>
                <w:sz w:val="14"/>
                <w:szCs w:val="20"/>
              </w:rPr>
              <w:t> </w:t>
            </w:r>
            <w:r>
              <w:rPr>
                <w:szCs w:val="20"/>
              </w:rPr>
              <w:t>B. Begrüßungsformeln, Aufforderungen, lateinische Antworten auf Fragen zu ihrer Person oder auf Fragen zum Textinhalt)</w:t>
            </w:r>
          </w:p>
          <w:p>
            <w:pPr>
              <w:numPr>
                <w:ilvl w:val="0"/>
                <w:numId w:val="2"/>
              </w:numPr>
              <w:spacing w:before="60"/>
              <w:jc w:val="left"/>
            </w:pPr>
            <w:r>
              <w:rPr>
                <w:szCs w:val="20"/>
              </w:rPr>
              <w:t>benennen signifikante Abweichungen vom Lateinischen im Deutschen oder Englischen (hier: Artikel, Genus)</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Textkompetenz</w:t>
            </w:r>
          </w:p>
          <w:p>
            <w:pPr>
              <w:numPr>
                <w:ilvl w:val="0"/>
                <w:numId w:val="2"/>
              </w:numPr>
              <w:spacing w:before="60"/>
              <w:jc w:val="left"/>
            </w:pPr>
            <w:r>
              <w:t xml:space="preserve">ziehen vorgegebene </w:t>
            </w:r>
            <w:r>
              <w:rPr>
                <w:szCs w:val="20"/>
              </w:rPr>
              <w:t>Informationsträger</w:t>
            </w:r>
            <w:r>
              <w:t xml:space="preserve"> heran (Überschrift, Einleitungstext, Illustrationen)</w:t>
            </w:r>
          </w:p>
          <w:p>
            <w:pPr>
              <w:numPr>
                <w:ilvl w:val="0"/>
                <w:numId w:val="2"/>
              </w:numPr>
              <w:spacing w:before="60"/>
              <w:jc w:val="left"/>
              <w:rPr>
                <w:szCs w:val="20"/>
              </w:rPr>
            </w:pPr>
            <w:r>
              <w:rPr>
                <w:szCs w:val="20"/>
              </w:rPr>
              <w:t>gehen bei der Übersetzung systematisch vor (hier: Wort-für-Wort-Methode)</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Kulturkompetenz</w:t>
            </w:r>
          </w:p>
          <w:p>
            <w:pPr>
              <w:numPr>
                <w:ilvl w:val="0"/>
                <w:numId w:val="2"/>
              </w:numPr>
              <w:spacing w:before="60"/>
              <w:jc w:val="left"/>
              <w:rPr>
                <w:szCs w:val="20"/>
              </w:rPr>
            </w:pPr>
            <w:r>
              <w:rPr>
                <w:szCs w:val="20"/>
              </w:rPr>
              <w:t>römisches Alltagsleben:</w:t>
            </w:r>
          </w:p>
          <w:p>
            <w:pPr>
              <w:numPr>
                <w:ilvl w:val="0"/>
                <w:numId w:val="1"/>
              </w:numPr>
              <w:ind w:left="340" w:hanging="170"/>
              <w:jc w:val="left"/>
              <w:rPr>
                <w:szCs w:val="20"/>
              </w:rPr>
            </w:pPr>
            <w:r>
              <w:rPr>
                <w:i/>
                <w:szCs w:val="20"/>
              </w:rPr>
              <w:t>familia</w:t>
            </w:r>
            <w:r>
              <w:rPr>
                <w:szCs w:val="20"/>
              </w:rPr>
              <w:t xml:space="preserve"> und Namensgebung</w:t>
            </w:r>
          </w:p>
          <w:p>
            <w:pPr>
              <w:numPr>
                <w:ilvl w:val="0"/>
                <w:numId w:val="2"/>
              </w:numPr>
              <w:spacing w:before="60"/>
              <w:jc w:val="left"/>
              <w:rPr>
                <w:szCs w:val="20"/>
              </w:rPr>
            </w:pPr>
            <w:r>
              <w:rPr>
                <w:color w:val="008000"/>
                <w:szCs w:val="20"/>
              </w:rPr>
              <w:t>Kernbegriffe:</w:t>
            </w:r>
          </w:p>
          <w:p>
            <w:pPr>
              <w:numPr>
                <w:ilvl w:val="0"/>
                <w:numId w:val="1"/>
              </w:numPr>
              <w:ind w:left="340" w:hanging="170"/>
              <w:jc w:val="left"/>
            </w:pPr>
            <w:r>
              <w:rPr>
                <w:i/>
                <w:szCs w:val="20"/>
              </w:rPr>
              <w:t>familia</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CC0066"/>
              </w:rPr>
            </w:pPr>
            <w:r>
              <w:rPr>
                <w:b/>
                <w:color w:val="CC0066"/>
              </w:rPr>
              <w:t>Anmerkungen/Sonstiges</w:t>
            </w:r>
          </w:p>
          <w:p>
            <w:pPr>
              <w:spacing w:before="120"/>
              <w:jc w:val="left"/>
            </w:pPr>
          </w:p>
          <w:p>
            <w:pPr>
              <w:spacing w:before="120"/>
              <w:jc w:val="left"/>
            </w:pPr>
          </w:p>
          <w:p>
            <w:pPr>
              <w:spacing w:before="120"/>
              <w:jc w:val="left"/>
            </w:pPr>
          </w:p>
          <w:p>
            <w:pPr>
              <w:spacing w:before="120"/>
              <w:jc w:val="left"/>
            </w:pPr>
          </w:p>
        </w:tc>
      </w:tr>
    </w:tbl>
    <w:p/>
    <w:p>
      <w:pPr>
        <w:spacing w:after="120" w:line="240" w:lineRule="auto"/>
      </w:pPr>
    </w:p>
    <w:p>
      <w:pPr>
        <w:spacing w:after="120" w:line="240" w:lineRule="auto"/>
      </w:pPr>
    </w:p>
    <w:p>
      <w:pPr>
        <w:spacing w:after="200" w:line="276"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tc>
          <w:tcPr>
            <w:tcW w:w="2098" w:type="dxa"/>
            <w:vMerge w:val="restart"/>
            <w:tcMar>
              <w:top w:w="57" w:type="dxa"/>
              <w:bottom w:w="57" w:type="dxa"/>
            </w:tcMar>
          </w:tcPr>
          <w:p>
            <w:pPr>
              <w:ind w:left="170" w:hanging="170"/>
              <w:jc w:val="left"/>
              <w:rPr>
                <w:b/>
                <w:color w:val="3333CC"/>
              </w:rPr>
            </w:pPr>
            <w:r>
              <w:rPr>
                <w:b/>
                <w:color w:val="3333CC"/>
              </w:rPr>
              <w:lastRenderedPageBreak/>
              <w:t>1</w:t>
            </w:r>
            <w:r>
              <w:rPr>
                <w:b/>
                <w:color w:val="3333CC"/>
              </w:rPr>
              <w:tab/>
              <w:t>Wohnen im alten Rom</w:t>
            </w:r>
          </w:p>
          <w:p>
            <w:pPr>
              <w:numPr>
                <w:ilvl w:val="0"/>
                <w:numId w:val="2"/>
              </w:numPr>
              <w:spacing w:before="60"/>
              <w:jc w:val="left"/>
            </w:pPr>
            <w:r>
              <w:t>Akkusativobjekt</w:t>
            </w:r>
          </w:p>
          <w:p>
            <w:pPr>
              <w:numPr>
                <w:ilvl w:val="0"/>
                <w:numId w:val="2"/>
              </w:numPr>
              <w:spacing w:before="60"/>
              <w:jc w:val="left"/>
            </w:pPr>
            <w:r>
              <w:t>Genus im Lateinischen und Deutschen</w:t>
            </w:r>
          </w:p>
          <w:p>
            <w:pPr>
              <w:numPr>
                <w:ilvl w:val="0"/>
                <w:numId w:val="2"/>
              </w:numPr>
              <w:spacing w:before="60"/>
              <w:jc w:val="left"/>
            </w:pPr>
            <w:r>
              <w:t xml:space="preserve">Subst. im Nom. und Akk. Sg. der </w:t>
            </w:r>
            <w:r>
              <w:br/>
              <w:t>o-/a-/kons. Dekl.</w:t>
            </w:r>
          </w:p>
          <w:p>
            <w:pPr>
              <w:numPr>
                <w:ilvl w:val="0"/>
                <w:numId w:val="2"/>
              </w:numPr>
              <w:spacing w:before="60"/>
              <w:jc w:val="left"/>
            </w:pPr>
            <w:r>
              <w:t>3. Sg. Ind. Präs. Akt. der a-/e-/i-/kons. Konj.</w:t>
            </w:r>
          </w:p>
        </w:tc>
        <w:tc>
          <w:tcPr>
            <w:tcW w:w="6974" w:type="dxa"/>
            <w:tcMar>
              <w:top w:w="57" w:type="dxa"/>
              <w:bottom w:w="57" w:type="dxa"/>
            </w:tcMar>
          </w:tcPr>
          <w:p>
            <w:pPr>
              <w:jc w:val="left"/>
              <w:rPr>
                <w:b/>
                <w:color w:val="FF0066"/>
              </w:rPr>
            </w:pPr>
            <w:r>
              <w:rPr>
                <w:b/>
                <w:color w:val="CC0066"/>
              </w:rPr>
              <w:t>Sprachkompetenz</w:t>
            </w:r>
          </w:p>
          <w:p>
            <w:pPr>
              <w:numPr>
                <w:ilvl w:val="0"/>
                <w:numId w:val="2"/>
              </w:numPr>
              <w:spacing w:before="60"/>
              <w:jc w:val="left"/>
            </w:pPr>
            <w:r>
              <w:t xml:space="preserve">22 neue </w:t>
            </w:r>
            <w:r>
              <w:rPr>
                <w:szCs w:val="20"/>
              </w:rPr>
              <w:t>Vok</w:t>
            </w:r>
            <w:r>
              <w:t>. (insges. 43)</w:t>
            </w:r>
          </w:p>
          <w:p>
            <w:pPr>
              <w:numPr>
                <w:ilvl w:val="0"/>
                <w:numId w:val="2"/>
              </w:numPr>
              <w:spacing w:before="60"/>
              <w:jc w:val="left"/>
            </w:pPr>
            <w:r>
              <w:t>entnehmen dem Wörterverzeichnis des Lehrbuches Wortbedeutungen (Ü 8)</w:t>
            </w:r>
          </w:p>
          <w:p>
            <w:pPr>
              <w:numPr>
                <w:ilvl w:val="0"/>
                <w:numId w:val="2"/>
              </w:numPr>
              <w:spacing w:before="60"/>
              <w:jc w:val="left"/>
            </w:pPr>
            <w:r>
              <w:rPr>
                <w:szCs w:val="20"/>
              </w:rPr>
              <w:t>unterscheiden veränderliche von unveränderlichen Wortarten und benennen diese Wortarten</w:t>
            </w:r>
          </w:p>
          <w:p>
            <w:pPr>
              <w:numPr>
                <w:ilvl w:val="0"/>
                <w:numId w:val="2"/>
              </w:numPr>
              <w:spacing w:before="60"/>
              <w:jc w:val="left"/>
            </w:pPr>
            <w:r>
              <w:rPr>
                <w:szCs w:val="20"/>
              </w:rPr>
              <w:t>bestimmen mit Hilfe der jeweiligen gezielten Frage Satzglieder, benennen sie und visualisieren sie</w:t>
            </w:r>
          </w:p>
          <w:p>
            <w:pPr>
              <w:numPr>
                <w:ilvl w:val="0"/>
                <w:numId w:val="2"/>
              </w:numPr>
              <w:spacing w:before="60"/>
              <w:jc w:val="left"/>
            </w:pPr>
            <w:r>
              <w:t>identifizieren und benennen als Füllungsmöglichkeiten des Satzglieds Objekt:</w:t>
            </w:r>
          </w:p>
          <w:p>
            <w:pPr>
              <w:numPr>
                <w:ilvl w:val="0"/>
                <w:numId w:val="1"/>
              </w:numPr>
              <w:ind w:left="340" w:hanging="170"/>
              <w:jc w:val="left"/>
            </w:pPr>
            <w:r>
              <w:rPr>
                <w:szCs w:val="20"/>
              </w:rPr>
              <w:t>Akkusativobjekt (Subst.)</w:t>
            </w:r>
          </w:p>
          <w:p>
            <w:pPr>
              <w:numPr>
                <w:ilvl w:val="0"/>
                <w:numId w:val="2"/>
              </w:numPr>
              <w:spacing w:before="60"/>
              <w:jc w:val="left"/>
            </w:pPr>
            <w:r>
              <w:rPr>
                <w:szCs w:val="20"/>
              </w:rPr>
              <w:t>verstehen einfache lateinische Aufforderungen, Begrüßungs- und Verabschiedungsrituale</w:t>
            </w:r>
          </w:p>
          <w:p>
            <w:pPr>
              <w:numPr>
                <w:ilvl w:val="0"/>
                <w:numId w:val="2"/>
              </w:numPr>
              <w:spacing w:before="60"/>
              <w:jc w:val="left"/>
            </w:pPr>
            <w:r>
              <w:rPr>
                <w:szCs w:val="20"/>
              </w:rPr>
              <w:t>bilden kurze lateinische Sätze (z.</w:t>
            </w:r>
            <w:r>
              <w:rPr>
                <w:sz w:val="14"/>
                <w:szCs w:val="20"/>
              </w:rPr>
              <w:t> </w:t>
            </w:r>
            <w:r>
              <w:rPr>
                <w:szCs w:val="20"/>
              </w:rPr>
              <w:t>B. Begrüßungsformeln, Aufforderungen, lateinische Antworten auf Fragen zu ihrer Person oder auf Fragen zum Textinhalt)</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Textkompetenz</w:t>
            </w:r>
          </w:p>
          <w:p>
            <w:pPr>
              <w:numPr>
                <w:ilvl w:val="0"/>
                <w:numId w:val="2"/>
              </w:numPr>
              <w:spacing w:before="60"/>
              <w:jc w:val="left"/>
            </w:pPr>
            <w:r>
              <w:rPr>
                <w:szCs w:val="20"/>
              </w:rPr>
              <w:t>entnehmen</w:t>
            </w:r>
            <w:r>
              <w:t xml:space="preserve"> dem Text aufgabenbezogen Einzelinformationen zum Inhalt (hier: Handlungsträger)</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Kulturkompetenz</w:t>
            </w:r>
          </w:p>
          <w:p>
            <w:pPr>
              <w:numPr>
                <w:ilvl w:val="0"/>
                <w:numId w:val="2"/>
              </w:numPr>
              <w:spacing w:before="60"/>
              <w:jc w:val="left"/>
              <w:rPr>
                <w:szCs w:val="20"/>
              </w:rPr>
            </w:pPr>
            <w:r>
              <w:rPr>
                <w:szCs w:val="20"/>
              </w:rPr>
              <w:t>römisches Alltagsleben:</w:t>
            </w:r>
          </w:p>
          <w:p>
            <w:pPr>
              <w:numPr>
                <w:ilvl w:val="0"/>
                <w:numId w:val="1"/>
              </w:numPr>
              <w:ind w:left="340" w:hanging="170"/>
              <w:jc w:val="left"/>
              <w:rPr>
                <w:szCs w:val="20"/>
              </w:rPr>
            </w:pPr>
            <w:r>
              <w:rPr>
                <w:szCs w:val="20"/>
              </w:rPr>
              <w:t xml:space="preserve">Leben im Peristylhaus und in der </w:t>
            </w:r>
            <w:r>
              <w:rPr>
                <w:i/>
                <w:szCs w:val="20"/>
              </w:rPr>
              <w:t>insula</w:t>
            </w:r>
          </w:p>
          <w:p>
            <w:pPr>
              <w:numPr>
                <w:ilvl w:val="0"/>
                <w:numId w:val="2"/>
              </w:numPr>
              <w:spacing w:before="60"/>
              <w:jc w:val="left"/>
            </w:pPr>
            <w:r>
              <w:rPr>
                <w:color w:val="008000"/>
                <w:szCs w:val="20"/>
              </w:rPr>
              <w:t>Fachbegriffe:</w:t>
            </w:r>
          </w:p>
          <w:p>
            <w:pPr>
              <w:numPr>
                <w:ilvl w:val="0"/>
                <w:numId w:val="1"/>
              </w:numPr>
              <w:ind w:left="340" w:hanging="170"/>
              <w:jc w:val="left"/>
            </w:pPr>
            <w:r>
              <w:t>Peristylhaus</w:t>
            </w:r>
          </w:p>
          <w:p>
            <w:pPr>
              <w:numPr>
                <w:ilvl w:val="0"/>
                <w:numId w:val="1"/>
              </w:numPr>
              <w:ind w:left="340" w:hanging="170"/>
              <w:jc w:val="left"/>
            </w:pPr>
            <w:r>
              <w:t>Peristyl (+)</w:t>
            </w:r>
          </w:p>
          <w:p>
            <w:pPr>
              <w:numPr>
                <w:ilvl w:val="0"/>
                <w:numId w:val="1"/>
              </w:numPr>
              <w:ind w:left="340" w:hanging="170"/>
              <w:jc w:val="left"/>
              <w:rPr>
                <w:szCs w:val="20"/>
              </w:rPr>
            </w:pPr>
            <w:r>
              <w:t>Atrium (+)</w:t>
            </w:r>
          </w:p>
          <w:p>
            <w:pPr>
              <w:numPr>
                <w:ilvl w:val="0"/>
                <w:numId w:val="1"/>
              </w:numPr>
              <w:ind w:left="340" w:hanging="170"/>
              <w:jc w:val="left"/>
              <w:rPr>
                <w:szCs w:val="20"/>
              </w:rPr>
            </w:pPr>
            <w:r>
              <w:t>Insula (+)</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CC0066"/>
              </w:rPr>
            </w:pPr>
            <w:r>
              <w:rPr>
                <w:b/>
                <w:color w:val="CC0066"/>
              </w:rPr>
              <w:t>Anmerkungen/Sonstiges</w:t>
            </w:r>
          </w:p>
          <w:p>
            <w:pPr>
              <w:spacing w:before="60"/>
              <w:jc w:val="left"/>
            </w:pPr>
          </w:p>
          <w:p>
            <w:pPr>
              <w:spacing w:before="60"/>
              <w:jc w:val="left"/>
            </w:pPr>
          </w:p>
          <w:p>
            <w:pPr>
              <w:spacing w:before="60"/>
              <w:jc w:val="left"/>
            </w:pPr>
          </w:p>
          <w:p>
            <w:pPr>
              <w:spacing w:before="60"/>
              <w:jc w:val="left"/>
            </w:pPr>
          </w:p>
        </w:tc>
      </w:tr>
    </w:tbl>
    <w:p/>
    <w:p>
      <w:pPr>
        <w:spacing w:after="200" w:line="276"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tc>
          <w:tcPr>
            <w:tcW w:w="2098" w:type="dxa"/>
            <w:vMerge w:val="restart"/>
            <w:tcMar>
              <w:top w:w="57" w:type="dxa"/>
              <w:bottom w:w="57" w:type="dxa"/>
            </w:tcMar>
          </w:tcPr>
          <w:p>
            <w:pPr>
              <w:ind w:left="170" w:hanging="170"/>
              <w:jc w:val="left"/>
              <w:rPr>
                <w:b/>
                <w:color w:val="3333CC"/>
              </w:rPr>
            </w:pPr>
            <w:r>
              <w:rPr>
                <w:b/>
                <w:color w:val="3333CC"/>
              </w:rPr>
              <w:lastRenderedPageBreak/>
              <w:t>2</w:t>
            </w:r>
            <w:r>
              <w:rPr>
                <w:b/>
                <w:color w:val="3333CC"/>
              </w:rPr>
              <w:tab/>
              <w:t>Die römische Hausgemeinschaft</w:t>
            </w:r>
          </w:p>
          <w:p>
            <w:pPr>
              <w:numPr>
                <w:ilvl w:val="0"/>
                <w:numId w:val="2"/>
              </w:numPr>
              <w:spacing w:before="60"/>
              <w:jc w:val="left"/>
            </w:pPr>
            <w:r>
              <w:t>Kongruenz: Subj. und Präd.</w:t>
            </w:r>
          </w:p>
          <w:p>
            <w:pPr>
              <w:numPr>
                <w:ilvl w:val="0"/>
                <w:numId w:val="2"/>
              </w:numPr>
              <w:spacing w:before="60"/>
              <w:jc w:val="left"/>
            </w:pPr>
            <w:r>
              <w:t>Subst. im Nom. und Akk. Pl.</w:t>
            </w:r>
          </w:p>
          <w:p>
            <w:pPr>
              <w:numPr>
                <w:ilvl w:val="0"/>
                <w:numId w:val="2"/>
              </w:numPr>
              <w:spacing w:before="60"/>
              <w:jc w:val="left"/>
            </w:pPr>
            <w:r>
              <w:t>Neutra der o-Dekl.</w:t>
            </w:r>
          </w:p>
          <w:p>
            <w:pPr>
              <w:numPr>
                <w:ilvl w:val="0"/>
                <w:numId w:val="2"/>
              </w:numPr>
              <w:spacing w:before="60"/>
              <w:jc w:val="left"/>
            </w:pPr>
            <w:r>
              <w:t>Vokativ</w:t>
            </w:r>
          </w:p>
          <w:p>
            <w:pPr>
              <w:numPr>
                <w:ilvl w:val="0"/>
                <w:numId w:val="2"/>
              </w:numPr>
              <w:spacing w:before="60"/>
              <w:jc w:val="left"/>
            </w:pPr>
            <w:r>
              <w:t>3. Pl. Ind. Präs. Akt.</w:t>
            </w:r>
          </w:p>
          <w:p>
            <w:pPr>
              <w:numPr>
                <w:ilvl w:val="0"/>
                <w:numId w:val="2"/>
              </w:numPr>
              <w:spacing w:before="60"/>
              <w:jc w:val="left"/>
            </w:pPr>
            <w:r>
              <w:t>Inf. Präs. Akt.</w:t>
            </w:r>
          </w:p>
          <w:p>
            <w:pPr>
              <w:numPr>
                <w:ilvl w:val="0"/>
                <w:numId w:val="2"/>
              </w:numPr>
              <w:spacing w:before="60"/>
              <w:jc w:val="left"/>
            </w:pPr>
            <w:r>
              <w:t xml:space="preserve">gem. Konj. </w:t>
            </w:r>
            <w:r>
              <w:br/>
              <w:t>(= k</w:t>
            </w:r>
            <w:r>
              <w:rPr>
                <w:szCs w:val="20"/>
              </w:rPr>
              <w:t>urzvok. i-Konj.)</w:t>
            </w:r>
          </w:p>
        </w:tc>
        <w:tc>
          <w:tcPr>
            <w:tcW w:w="6974" w:type="dxa"/>
            <w:tcMar>
              <w:top w:w="57" w:type="dxa"/>
              <w:bottom w:w="57" w:type="dxa"/>
            </w:tcMar>
          </w:tcPr>
          <w:p>
            <w:pPr>
              <w:jc w:val="left"/>
              <w:rPr>
                <w:b/>
                <w:color w:val="FF0066"/>
              </w:rPr>
            </w:pPr>
            <w:r>
              <w:rPr>
                <w:b/>
                <w:color w:val="CC0066"/>
              </w:rPr>
              <w:t>Sprachkompetenz</w:t>
            </w:r>
          </w:p>
          <w:p>
            <w:pPr>
              <w:numPr>
                <w:ilvl w:val="0"/>
                <w:numId w:val="2"/>
              </w:numPr>
              <w:spacing w:before="60"/>
              <w:jc w:val="left"/>
            </w:pPr>
            <w:r>
              <w:t xml:space="preserve">33 neue </w:t>
            </w:r>
            <w:r>
              <w:rPr>
                <w:szCs w:val="20"/>
              </w:rPr>
              <w:t>Vok</w:t>
            </w:r>
            <w:r>
              <w:t>. (insges. 76)</w:t>
            </w:r>
          </w:p>
          <w:p>
            <w:pPr>
              <w:numPr>
                <w:ilvl w:val="0"/>
                <w:numId w:val="2"/>
              </w:numPr>
              <w:spacing w:before="60"/>
              <w:jc w:val="left"/>
            </w:pPr>
            <w:r>
              <w:rPr>
                <w:szCs w:val="20"/>
              </w:rPr>
              <w:t>nennen als Wortbildungsbausteine bei Nomina Stamm und Endung, bei Verben Stamm, Endung und ggf. Sprechvokal</w:t>
            </w:r>
          </w:p>
          <w:p>
            <w:pPr>
              <w:numPr>
                <w:ilvl w:val="0"/>
                <w:numId w:val="2"/>
              </w:numPr>
              <w:spacing w:before="60"/>
              <w:jc w:val="left"/>
            </w:pPr>
            <w:r>
              <w:t>sortieren die gelernten Wörter nach grammatischen Gruppen (hier: Konjugationen, Ü 4)</w:t>
            </w:r>
          </w:p>
          <w:p>
            <w:pPr>
              <w:numPr>
                <w:ilvl w:val="0"/>
                <w:numId w:val="2"/>
              </w:numPr>
              <w:spacing w:before="60"/>
              <w:jc w:val="left"/>
            </w:pPr>
            <w:r>
              <w:rPr>
                <w:szCs w:val="20"/>
              </w:rPr>
              <w:t xml:space="preserve">erklären bei signifikanten Wörtern die im Lateinischen und Deutschen unterschiedlichen Konzepte (hier: </w:t>
            </w:r>
            <w:r>
              <w:rPr>
                <w:i/>
                <w:szCs w:val="20"/>
              </w:rPr>
              <w:t>familia</w:t>
            </w:r>
            <w:r>
              <w:rPr>
                <w:szCs w:val="20"/>
              </w:rPr>
              <w:t xml:space="preserve"> – Familie)</w:t>
            </w:r>
          </w:p>
          <w:p>
            <w:pPr>
              <w:numPr>
                <w:ilvl w:val="0"/>
                <w:numId w:val="2"/>
              </w:numPr>
              <w:spacing w:before="60"/>
              <w:jc w:val="left"/>
            </w:pPr>
            <w:r>
              <w:rPr>
                <w:szCs w:val="20"/>
              </w:rPr>
              <w:t>identifizieren als syntaktisches Minimum des Satzes den Satzkern (Subj. und Präd.) unter Beachtung der SP-Kongruenz</w:t>
            </w:r>
          </w:p>
          <w:p>
            <w:pPr>
              <w:numPr>
                <w:ilvl w:val="0"/>
                <w:numId w:val="2"/>
              </w:numPr>
              <w:spacing w:before="60"/>
              <w:jc w:val="left"/>
            </w:pPr>
            <w:r>
              <w:rPr>
                <w:szCs w:val="20"/>
              </w:rPr>
              <w:t>sortieren die gelernten Wörter nach semantischen Gruppen (hier: Sachfelder, Ü 7)</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Textkompetenz</w:t>
            </w:r>
          </w:p>
          <w:p>
            <w:pPr>
              <w:numPr>
                <w:ilvl w:val="0"/>
                <w:numId w:val="2"/>
              </w:numPr>
              <w:spacing w:before="60"/>
              <w:jc w:val="left"/>
            </w:pPr>
            <w:r>
              <w:t xml:space="preserve">arbeiten </w:t>
            </w:r>
            <w:r>
              <w:rPr>
                <w:szCs w:val="20"/>
              </w:rPr>
              <w:t>aufgabenbezogen</w:t>
            </w:r>
            <w:r>
              <w:t xml:space="preserve"> vorherrschende Textmerkmale heraus (hier: Sachfelder)</w:t>
            </w:r>
          </w:p>
          <w:p>
            <w:pPr>
              <w:numPr>
                <w:ilvl w:val="0"/>
                <w:numId w:val="2"/>
              </w:numPr>
              <w:spacing w:before="60"/>
              <w:jc w:val="left"/>
            </w:pPr>
            <w:r>
              <w:t>setzen den Inhalt des übersetzten Textes gestaltend um (hier: szenische Darstellung)</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Kulturkompetenz</w:t>
            </w:r>
          </w:p>
          <w:p>
            <w:pPr>
              <w:numPr>
                <w:ilvl w:val="0"/>
                <w:numId w:val="2"/>
              </w:numPr>
              <w:spacing w:before="60"/>
              <w:jc w:val="left"/>
              <w:rPr>
                <w:szCs w:val="20"/>
              </w:rPr>
            </w:pPr>
            <w:r>
              <w:rPr>
                <w:szCs w:val="20"/>
              </w:rPr>
              <w:t>römisches Alltagsleben:</w:t>
            </w:r>
          </w:p>
          <w:p>
            <w:pPr>
              <w:numPr>
                <w:ilvl w:val="0"/>
                <w:numId w:val="1"/>
              </w:numPr>
              <w:ind w:left="340" w:hanging="170"/>
              <w:jc w:val="left"/>
              <w:rPr>
                <w:szCs w:val="20"/>
              </w:rPr>
            </w:pPr>
            <w:r>
              <w:rPr>
                <w:i/>
                <w:szCs w:val="20"/>
              </w:rPr>
              <w:t>familia</w:t>
            </w:r>
          </w:p>
          <w:p>
            <w:pPr>
              <w:numPr>
                <w:ilvl w:val="0"/>
                <w:numId w:val="1"/>
              </w:numPr>
              <w:ind w:left="340" w:hanging="170"/>
              <w:jc w:val="left"/>
              <w:rPr>
                <w:szCs w:val="20"/>
              </w:rPr>
            </w:pPr>
            <w:r>
              <w:rPr>
                <w:szCs w:val="20"/>
              </w:rPr>
              <w:t>Stellung der Sklaven</w:t>
            </w:r>
          </w:p>
          <w:p>
            <w:pPr>
              <w:numPr>
                <w:ilvl w:val="0"/>
                <w:numId w:val="2"/>
              </w:numPr>
              <w:spacing w:before="60"/>
              <w:jc w:val="left"/>
              <w:rPr>
                <w:szCs w:val="20"/>
              </w:rPr>
            </w:pPr>
            <w:r>
              <w:rPr>
                <w:color w:val="008000"/>
                <w:szCs w:val="20"/>
              </w:rPr>
              <w:t>Kernbegriffe:</w:t>
            </w:r>
          </w:p>
          <w:p>
            <w:pPr>
              <w:numPr>
                <w:ilvl w:val="0"/>
                <w:numId w:val="1"/>
              </w:numPr>
              <w:ind w:left="340" w:hanging="170"/>
              <w:jc w:val="left"/>
            </w:pPr>
            <w:r>
              <w:rPr>
                <w:i/>
                <w:szCs w:val="20"/>
              </w:rPr>
              <w:t>familia</w:t>
            </w:r>
          </w:p>
          <w:p>
            <w:pPr>
              <w:numPr>
                <w:ilvl w:val="0"/>
                <w:numId w:val="1"/>
              </w:numPr>
              <w:ind w:left="340" w:hanging="170"/>
              <w:jc w:val="left"/>
              <w:rPr>
                <w:i/>
              </w:rPr>
            </w:pPr>
            <w:r>
              <w:rPr>
                <w:i/>
              </w:rPr>
              <w:t>pater familias</w:t>
            </w:r>
          </w:p>
          <w:p>
            <w:pPr>
              <w:numPr>
                <w:ilvl w:val="0"/>
                <w:numId w:val="1"/>
              </w:numPr>
              <w:ind w:left="340" w:hanging="170"/>
              <w:jc w:val="left"/>
              <w:rPr>
                <w:i/>
              </w:rPr>
            </w:pPr>
            <w:r>
              <w:rPr>
                <w:i/>
              </w:rPr>
              <w:t>matrona</w:t>
            </w:r>
          </w:p>
          <w:p>
            <w:pPr>
              <w:numPr>
                <w:ilvl w:val="0"/>
                <w:numId w:val="1"/>
              </w:numPr>
              <w:ind w:left="340" w:hanging="170"/>
              <w:jc w:val="left"/>
              <w:rPr>
                <w:i/>
                <w:szCs w:val="20"/>
              </w:rPr>
            </w:pPr>
            <w:r>
              <w:rPr>
                <w:i/>
                <w:szCs w:val="20"/>
              </w:rPr>
              <w:t>patria potestas</w:t>
            </w:r>
          </w:p>
          <w:p>
            <w:pPr>
              <w:numPr>
                <w:ilvl w:val="0"/>
                <w:numId w:val="2"/>
              </w:numPr>
              <w:spacing w:before="60"/>
              <w:jc w:val="left"/>
            </w:pPr>
            <w:r>
              <w:rPr>
                <w:szCs w:val="20"/>
              </w:rPr>
              <w:t>beschreiben Lebenswirklichkeiten in der römischen Welt aus einer vorgegebenen Perspektive (z.</w:t>
            </w:r>
            <w:r>
              <w:rPr>
                <w:sz w:val="14"/>
                <w:szCs w:val="20"/>
              </w:rPr>
              <w:t> </w:t>
            </w:r>
            <w:r>
              <w:rPr>
                <w:szCs w:val="20"/>
              </w:rPr>
              <w:t>B. Sklave, Herr)</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Anmerkungen/Sonstiges</w:t>
            </w:r>
          </w:p>
          <w:p>
            <w:pPr>
              <w:numPr>
                <w:ilvl w:val="0"/>
                <w:numId w:val="2"/>
              </w:numPr>
              <w:spacing w:before="60"/>
              <w:jc w:val="left"/>
              <w:rPr>
                <w:szCs w:val="20"/>
              </w:rPr>
            </w:pPr>
            <w:r>
              <w:rPr>
                <w:szCs w:val="20"/>
              </w:rPr>
              <w:t>Zum Sachinfotext (S.</w:t>
            </w:r>
            <w:r>
              <w:rPr>
                <w:sz w:val="14"/>
                <w:szCs w:val="20"/>
              </w:rPr>
              <w:t> </w:t>
            </w:r>
            <w:r>
              <w:rPr>
                <w:szCs w:val="20"/>
              </w:rPr>
              <w:t>20</w:t>
            </w:r>
            <w:r>
              <w:rPr>
                <w:sz w:val="14"/>
              </w:rPr>
              <w:t> </w:t>
            </w:r>
            <w:r>
              <w:t>f.</w:t>
            </w:r>
            <w:r>
              <w:rPr>
                <w:szCs w:val="20"/>
              </w:rPr>
              <w:t xml:space="preserve">) könnten </w:t>
            </w:r>
            <w:r>
              <w:t>die</w:t>
            </w:r>
            <w:r>
              <w:rPr>
                <w:color w:val="008000"/>
                <w:szCs w:val="20"/>
              </w:rPr>
              <w:t xml:space="preserve"> Kernbegriffe </w:t>
            </w:r>
            <w:r>
              <w:rPr>
                <w:i/>
                <w:szCs w:val="20"/>
              </w:rPr>
              <w:t>pater familias</w:t>
            </w:r>
            <w:r>
              <w:rPr>
                <w:szCs w:val="20"/>
              </w:rPr>
              <w:t xml:space="preserve"> und </w:t>
            </w:r>
            <w:r>
              <w:rPr>
                <w:i/>
                <w:szCs w:val="20"/>
              </w:rPr>
              <w:t>matrona</w:t>
            </w:r>
            <w:r>
              <w:rPr>
                <w:szCs w:val="20"/>
              </w:rPr>
              <w:t xml:space="preserve"> ergänzt werden.</w:t>
            </w:r>
          </w:p>
          <w:p>
            <w:pPr>
              <w:spacing w:before="60"/>
              <w:jc w:val="left"/>
              <w:rPr>
                <w:szCs w:val="20"/>
              </w:rPr>
            </w:pPr>
          </w:p>
          <w:p>
            <w:pPr>
              <w:spacing w:before="60"/>
              <w:jc w:val="left"/>
              <w:rPr>
                <w:szCs w:val="20"/>
              </w:rPr>
            </w:pPr>
          </w:p>
          <w:p>
            <w:pPr>
              <w:spacing w:before="60"/>
              <w:jc w:val="left"/>
              <w:rPr>
                <w:szCs w:val="20"/>
              </w:rPr>
            </w:pPr>
          </w:p>
          <w:p>
            <w:pPr>
              <w:spacing w:before="60"/>
              <w:jc w:val="left"/>
              <w:rPr>
                <w:szCs w:val="20"/>
              </w:rPr>
            </w:pPr>
          </w:p>
        </w:tc>
      </w:tr>
    </w:tbl>
    <w:p/>
    <w:p>
      <w:pPr>
        <w:spacing w:after="200" w:line="276"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tc>
          <w:tcPr>
            <w:tcW w:w="2098" w:type="dxa"/>
            <w:vMerge w:val="restart"/>
            <w:tcMar>
              <w:top w:w="57" w:type="dxa"/>
              <w:bottom w:w="57" w:type="dxa"/>
            </w:tcMar>
          </w:tcPr>
          <w:p>
            <w:pPr>
              <w:ind w:left="170" w:hanging="170"/>
              <w:jc w:val="left"/>
              <w:rPr>
                <w:b/>
                <w:color w:val="3333CC"/>
              </w:rPr>
            </w:pPr>
            <w:r>
              <w:rPr>
                <w:b/>
                <w:color w:val="3333CC"/>
              </w:rPr>
              <w:lastRenderedPageBreak/>
              <w:t>3</w:t>
            </w:r>
            <w:r>
              <w:rPr>
                <w:b/>
                <w:color w:val="3333CC"/>
              </w:rPr>
              <w:tab/>
              <w:t>Auf dem Land</w:t>
            </w:r>
          </w:p>
          <w:p>
            <w:pPr>
              <w:numPr>
                <w:ilvl w:val="0"/>
                <w:numId w:val="2"/>
              </w:numPr>
              <w:spacing w:before="60"/>
              <w:jc w:val="left"/>
            </w:pPr>
            <w:r>
              <w:t>AB der Richtung</w:t>
            </w:r>
          </w:p>
          <w:p>
            <w:pPr>
              <w:numPr>
                <w:ilvl w:val="0"/>
                <w:numId w:val="2"/>
              </w:numPr>
              <w:spacing w:before="60"/>
              <w:jc w:val="left"/>
            </w:pPr>
            <w:r>
              <w:t>1. und 2. Pl. Ind. Präs. Akt.</w:t>
            </w:r>
          </w:p>
          <w:p>
            <w:pPr>
              <w:numPr>
                <w:ilvl w:val="0"/>
                <w:numId w:val="2"/>
              </w:numPr>
              <w:spacing w:before="60"/>
              <w:jc w:val="left"/>
              <w:rPr>
                <w:i/>
              </w:rPr>
            </w:pPr>
            <w:r>
              <w:rPr>
                <w:i/>
              </w:rPr>
              <w:t>esse</w:t>
            </w:r>
          </w:p>
          <w:p>
            <w:pPr>
              <w:numPr>
                <w:ilvl w:val="0"/>
                <w:numId w:val="2"/>
              </w:numPr>
              <w:spacing w:before="60"/>
              <w:jc w:val="left"/>
            </w:pPr>
            <w:r>
              <w:t>Pron. pers.</w:t>
            </w:r>
          </w:p>
        </w:tc>
        <w:tc>
          <w:tcPr>
            <w:tcW w:w="6974" w:type="dxa"/>
            <w:tcMar>
              <w:top w:w="57" w:type="dxa"/>
              <w:bottom w:w="57" w:type="dxa"/>
            </w:tcMar>
          </w:tcPr>
          <w:p>
            <w:pPr>
              <w:jc w:val="left"/>
              <w:rPr>
                <w:b/>
                <w:color w:val="FF0066"/>
              </w:rPr>
            </w:pPr>
            <w:r>
              <w:rPr>
                <w:b/>
                <w:color w:val="CC0066"/>
              </w:rPr>
              <w:t>Sprachkompetenz</w:t>
            </w:r>
          </w:p>
          <w:p>
            <w:pPr>
              <w:numPr>
                <w:ilvl w:val="0"/>
                <w:numId w:val="2"/>
              </w:numPr>
              <w:spacing w:before="60"/>
              <w:jc w:val="left"/>
            </w:pPr>
            <w:r>
              <w:t>31 neue Vok. (insges. 107)</w:t>
            </w:r>
          </w:p>
          <w:p>
            <w:pPr>
              <w:numPr>
                <w:ilvl w:val="0"/>
                <w:numId w:val="2"/>
              </w:numPr>
              <w:spacing w:before="60"/>
              <w:jc w:val="left"/>
            </w:pPr>
            <w:r>
              <w:t>geben die Paradigmen wieder:</w:t>
            </w:r>
          </w:p>
          <w:p>
            <w:pPr>
              <w:numPr>
                <w:ilvl w:val="0"/>
                <w:numId w:val="1"/>
              </w:numPr>
              <w:ind w:left="340" w:hanging="170"/>
              <w:jc w:val="left"/>
            </w:pPr>
            <w:r>
              <w:rPr>
                <w:szCs w:val="20"/>
              </w:rPr>
              <w:t>der Verben der a-, e-, i- und kons. Konj. (inkl. kurzvok. i-Konj.) im Ind. Präs. Akt.</w:t>
            </w:r>
          </w:p>
          <w:p>
            <w:pPr>
              <w:numPr>
                <w:ilvl w:val="0"/>
                <w:numId w:val="1"/>
              </w:numPr>
              <w:ind w:left="340" w:hanging="170"/>
              <w:jc w:val="left"/>
            </w:pPr>
            <w:r>
              <w:rPr>
                <w:i/>
                <w:szCs w:val="20"/>
              </w:rPr>
              <w:t>esse</w:t>
            </w:r>
            <w:r>
              <w:rPr>
                <w:szCs w:val="20"/>
              </w:rPr>
              <w:t xml:space="preserve"> im Ind. Präs.</w:t>
            </w:r>
          </w:p>
          <w:p>
            <w:pPr>
              <w:numPr>
                <w:ilvl w:val="0"/>
                <w:numId w:val="2"/>
              </w:numPr>
              <w:spacing w:before="60"/>
              <w:jc w:val="left"/>
            </w:pPr>
            <w:r>
              <w:rPr>
                <w:szCs w:val="20"/>
              </w:rPr>
              <w:t xml:space="preserve">erklären bei signifikanten Wörtern die im Lateinischen und Deutschen unterschiedlichen Konzepte (hier: </w:t>
            </w:r>
            <w:r>
              <w:rPr>
                <w:i/>
                <w:szCs w:val="20"/>
              </w:rPr>
              <w:t>villa</w:t>
            </w:r>
            <w:r>
              <w:rPr>
                <w:szCs w:val="20"/>
              </w:rPr>
              <w:t xml:space="preserve"> – Villa)</w:t>
            </w:r>
          </w:p>
          <w:p>
            <w:pPr>
              <w:numPr>
                <w:ilvl w:val="0"/>
                <w:numId w:val="2"/>
              </w:numPr>
              <w:spacing w:before="60"/>
              <w:jc w:val="left"/>
            </w:pPr>
            <w:r>
              <w:rPr>
                <w:szCs w:val="20"/>
              </w:rPr>
              <w:t>sortieren die gelernten Wörter nach semantischen Gruppen (hier: Wortfelder, Ü 6)</w:t>
            </w:r>
          </w:p>
          <w:p>
            <w:pPr>
              <w:numPr>
                <w:ilvl w:val="0"/>
                <w:numId w:val="2"/>
              </w:numPr>
              <w:spacing w:before="60"/>
              <w:jc w:val="left"/>
            </w:pPr>
            <w:r>
              <w:rPr>
                <w:szCs w:val="20"/>
              </w:rPr>
              <w:t>entdecken ihnen bekannte lateinische Wörter in anderen Fremdsprachen (Ü 7)</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Textkompetenz</w:t>
            </w:r>
          </w:p>
          <w:p>
            <w:pPr>
              <w:numPr>
                <w:ilvl w:val="0"/>
                <w:numId w:val="2"/>
              </w:numPr>
              <w:spacing w:before="60"/>
              <w:jc w:val="left"/>
            </w:pPr>
            <w:r>
              <w:t xml:space="preserve">formulieren </w:t>
            </w:r>
            <w:r>
              <w:rPr>
                <w:szCs w:val="20"/>
              </w:rPr>
              <w:t>ausgehend</w:t>
            </w:r>
            <w:r>
              <w:t xml:space="preserve"> von den im Textumfeld gegebenen Informationen Fragen und Erwartungen zum Inhalt des Textes </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Kulturkompetenz</w:t>
            </w:r>
          </w:p>
          <w:p>
            <w:pPr>
              <w:numPr>
                <w:ilvl w:val="0"/>
                <w:numId w:val="2"/>
              </w:numPr>
              <w:spacing w:before="60"/>
              <w:jc w:val="left"/>
              <w:rPr>
                <w:szCs w:val="20"/>
              </w:rPr>
            </w:pPr>
            <w:r>
              <w:rPr>
                <w:szCs w:val="20"/>
              </w:rPr>
              <w:t>römisches Alltagsleben:</w:t>
            </w:r>
          </w:p>
          <w:p>
            <w:pPr>
              <w:numPr>
                <w:ilvl w:val="0"/>
                <w:numId w:val="1"/>
              </w:numPr>
              <w:ind w:left="340" w:hanging="170"/>
              <w:jc w:val="left"/>
              <w:rPr>
                <w:szCs w:val="20"/>
              </w:rPr>
            </w:pPr>
            <w:r>
              <w:rPr>
                <w:szCs w:val="20"/>
              </w:rPr>
              <w:t xml:space="preserve">Leben in der </w:t>
            </w:r>
            <w:r>
              <w:rPr>
                <w:i/>
                <w:szCs w:val="20"/>
              </w:rPr>
              <w:t>villa rustica</w:t>
            </w:r>
          </w:p>
          <w:p>
            <w:pPr>
              <w:numPr>
                <w:ilvl w:val="0"/>
                <w:numId w:val="1"/>
              </w:numPr>
              <w:ind w:left="340" w:hanging="170"/>
              <w:jc w:val="left"/>
              <w:rPr>
                <w:szCs w:val="20"/>
              </w:rPr>
            </w:pPr>
            <w:r>
              <w:rPr>
                <w:szCs w:val="20"/>
              </w:rPr>
              <w:t>Tagesablauf</w:t>
            </w:r>
          </w:p>
          <w:p>
            <w:pPr>
              <w:numPr>
                <w:ilvl w:val="0"/>
                <w:numId w:val="1"/>
              </w:numPr>
              <w:ind w:left="340" w:hanging="170"/>
              <w:jc w:val="left"/>
              <w:rPr>
                <w:szCs w:val="20"/>
              </w:rPr>
            </w:pPr>
            <w:r>
              <w:rPr>
                <w:szCs w:val="20"/>
              </w:rPr>
              <w:t>Kleidung</w:t>
            </w:r>
          </w:p>
          <w:p>
            <w:pPr>
              <w:numPr>
                <w:ilvl w:val="0"/>
                <w:numId w:val="2"/>
              </w:numPr>
              <w:spacing w:before="60"/>
              <w:jc w:val="left"/>
            </w:pPr>
            <w:r>
              <w:rPr>
                <w:szCs w:val="20"/>
              </w:rPr>
              <w:br w:type="page"/>
            </w:r>
            <w:r>
              <w:br w:type="page"/>
              <w:t>Versorgung und Wirtschaft (+)</w:t>
            </w:r>
          </w:p>
          <w:p>
            <w:pPr>
              <w:numPr>
                <w:ilvl w:val="0"/>
                <w:numId w:val="2"/>
              </w:numPr>
              <w:spacing w:before="60"/>
              <w:jc w:val="left"/>
            </w:pPr>
            <w:r>
              <w:rPr>
                <w:szCs w:val="20"/>
              </w:rPr>
              <w:t>beschreiben angeleitet antike Kunstgegenstände</w:t>
            </w:r>
            <w:r>
              <w:t xml:space="preserve"> (S.</w:t>
            </w:r>
            <w:r>
              <w:rPr>
                <w:sz w:val="14"/>
              </w:rPr>
              <w:t> </w:t>
            </w:r>
            <w:r>
              <w:t>27: Mosaike)</w:t>
            </w:r>
          </w:p>
          <w:p>
            <w:pPr>
              <w:numPr>
                <w:ilvl w:val="0"/>
                <w:numId w:val="2"/>
              </w:numPr>
              <w:spacing w:before="60"/>
              <w:jc w:val="left"/>
              <w:rPr>
                <w:szCs w:val="20"/>
              </w:rPr>
            </w:pPr>
            <w:r>
              <w:rPr>
                <w:color w:val="008000"/>
                <w:szCs w:val="20"/>
              </w:rPr>
              <w:t>Fachbegriffe:</w:t>
            </w:r>
          </w:p>
          <w:p>
            <w:pPr>
              <w:numPr>
                <w:ilvl w:val="0"/>
                <w:numId w:val="1"/>
              </w:numPr>
              <w:ind w:left="340" w:hanging="170"/>
              <w:jc w:val="left"/>
            </w:pPr>
            <w:r>
              <w:rPr>
                <w:i/>
                <w:szCs w:val="20"/>
              </w:rPr>
              <w:t xml:space="preserve">villa rustica </w:t>
            </w:r>
            <w:r>
              <w:t>(+)</w:t>
            </w:r>
          </w:p>
          <w:p>
            <w:pPr>
              <w:numPr>
                <w:ilvl w:val="0"/>
                <w:numId w:val="1"/>
              </w:numPr>
              <w:ind w:left="340" w:hanging="170"/>
              <w:jc w:val="left"/>
            </w:pPr>
            <w:r>
              <w:t>Latifundien (+)</w:t>
            </w:r>
          </w:p>
          <w:p>
            <w:pPr>
              <w:numPr>
                <w:ilvl w:val="0"/>
                <w:numId w:val="1"/>
              </w:numPr>
              <w:ind w:left="340" w:hanging="170"/>
              <w:jc w:val="left"/>
            </w:pPr>
            <w:r>
              <w:rPr>
                <w:i/>
              </w:rPr>
              <w:t>vilicus</w:t>
            </w:r>
            <w:r>
              <w:t xml:space="preserve"> (+)</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CC0066"/>
              </w:rPr>
            </w:pPr>
            <w:r>
              <w:rPr>
                <w:b/>
                <w:color w:val="CC0066"/>
              </w:rPr>
              <w:t>Anmerkungen/Sonstiges</w:t>
            </w:r>
          </w:p>
          <w:p>
            <w:pPr>
              <w:spacing w:before="60"/>
              <w:jc w:val="left"/>
            </w:pPr>
          </w:p>
          <w:p>
            <w:pPr>
              <w:spacing w:before="60"/>
              <w:jc w:val="left"/>
            </w:pPr>
          </w:p>
          <w:p>
            <w:pPr>
              <w:spacing w:before="60"/>
              <w:jc w:val="left"/>
            </w:pPr>
          </w:p>
          <w:p>
            <w:pPr>
              <w:spacing w:before="60"/>
              <w:jc w:val="left"/>
            </w:pPr>
          </w:p>
        </w:tc>
      </w:tr>
    </w:tbl>
    <w:p/>
    <w:p>
      <w:pPr>
        <w:spacing w:after="120" w:line="240"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tc>
          <w:tcPr>
            <w:tcW w:w="2098" w:type="dxa"/>
            <w:vMerge w:val="restart"/>
            <w:tcMar>
              <w:top w:w="57" w:type="dxa"/>
              <w:bottom w:w="57" w:type="dxa"/>
            </w:tcMar>
          </w:tcPr>
          <w:p>
            <w:pPr>
              <w:ind w:left="170" w:hanging="170"/>
              <w:jc w:val="left"/>
              <w:rPr>
                <w:b/>
                <w:color w:val="3333CC"/>
              </w:rPr>
            </w:pPr>
            <w:r>
              <w:rPr>
                <w:b/>
                <w:color w:val="3333CC"/>
              </w:rPr>
              <w:lastRenderedPageBreak/>
              <w:t>4</w:t>
            </w:r>
            <w:r>
              <w:rPr>
                <w:b/>
                <w:color w:val="3333CC"/>
              </w:rPr>
              <w:tab/>
              <w:t>In der Schule</w:t>
            </w:r>
          </w:p>
          <w:p>
            <w:pPr>
              <w:numPr>
                <w:ilvl w:val="0"/>
                <w:numId w:val="2"/>
              </w:numPr>
              <w:spacing w:before="60"/>
              <w:jc w:val="left"/>
            </w:pPr>
            <w:r>
              <w:t>Fragesätze</w:t>
            </w:r>
          </w:p>
          <w:p>
            <w:pPr>
              <w:numPr>
                <w:ilvl w:val="0"/>
                <w:numId w:val="2"/>
              </w:numPr>
              <w:spacing w:before="60"/>
              <w:jc w:val="left"/>
            </w:pPr>
            <w:r>
              <w:t>Aufforderungssätze:</w:t>
            </w:r>
          </w:p>
          <w:p>
            <w:pPr>
              <w:numPr>
                <w:ilvl w:val="0"/>
                <w:numId w:val="1"/>
              </w:numPr>
              <w:ind w:left="340" w:hanging="170"/>
              <w:jc w:val="left"/>
            </w:pPr>
            <w:r>
              <w:t>Befehl</w:t>
            </w:r>
          </w:p>
          <w:p>
            <w:pPr>
              <w:numPr>
                <w:ilvl w:val="0"/>
                <w:numId w:val="1"/>
              </w:numPr>
              <w:ind w:left="340" w:hanging="170"/>
              <w:jc w:val="left"/>
            </w:pPr>
            <w:r>
              <w:t>Verbot</w:t>
            </w:r>
          </w:p>
          <w:p>
            <w:pPr>
              <w:numPr>
                <w:ilvl w:val="0"/>
                <w:numId w:val="2"/>
              </w:numPr>
              <w:spacing w:before="60"/>
              <w:jc w:val="left"/>
            </w:pPr>
            <w:r>
              <w:t>Neutra der kons. Dekl.</w:t>
            </w:r>
          </w:p>
          <w:p>
            <w:pPr>
              <w:numPr>
                <w:ilvl w:val="0"/>
                <w:numId w:val="2"/>
              </w:numPr>
              <w:spacing w:before="60"/>
              <w:jc w:val="left"/>
            </w:pPr>
            <w:r>
              <w:t>Imp.</w:t>
            </w:r>
          </w:p>
          <w:p>
            <w:pPr>
              <w:numPr>
                <w:ilvl w:val="0"/>
                <w:numId w:val="2"/>
              </w:numPr>
              <w:spacing w:before="60"/>
              <w:jc w:val="left"/>
            </w:pPr>
            <w:r>
              <w:rPr>
                <w:i/>
              </w:rPr>
              <w:t>posse</w:t>
            </w:r>
          </w:p>
        </w:tc>
        <w:tc>
          <w:tcPr>
            <w:tcW w:w="6974" w:type="dxa"/>
            <w:tcMar>
              <w:top w:w="57" w:type="dxa"/>
              <w:bottom w:w="57" w:type="dxa"/>
            </w:tcMar>
          </w:tcPr>
          <w:p>
            <w:pPr>
              <w:jc w:val="left"/>
              <w:rPr>
                <w:b/>
                <w:color w:val="FF0066"/>
              </w:rPr>
            </w:pPr>
            <w:r>
              <w:rPr>
                <w:b/>
                <w:color w:val="CC0066"/>
              </w:rPr>
              <w:t>Sprachkompetenz</w:t>
            </w:r>
          </w:p>
          <w:p>
            <w:pPr>
              <w:numPr>
                <w:ilvl w:val="0"/>
                <w:numId w:val="2"/>
              </w:numPr>
              <w:spacing w:before="60"/>
              <w:jc w:val="left"/>
            </w:pPr>
            <w:r>
              <w:t>31 neue Vok. (</w:t>
            </w:r>
            <w:r>
              <w:rPr>
                <w:szCs w:val="20"/>
              </w:rPr>
              <w:t>insges</w:t>
            </w:r>
            <w:r>
              <w:t>. 138)</w:t>
            </w:r>
          </w:p>
          <w:p>
            <w:pPr>
              <w:numPr>
                <w:ilvl w:val="0"/>
                <w:numId w:val="2"/>
              </w:numPr>
              <w:spacing w:before="60"/>
              <w:jc w:val="left"/>
            </w:pPr>
            <w:r>
              <w:t>geben die Paradigmen wieder:</w:t>
            </w:r>
          </w:p>
          <w:p>
            <w:pPr>
              <w:numPr>
                <w:ilvl w:val="0"/>
                <w:numId w:val="1"/>
              </w:numPr>
              <w:ind w:left="340" w:hanging="170"/>
              <w:jc w:val="left"/>
            </w:pPr>
            <w:r>
              <w:rPr>
                <w:i/>
                <w:szCs w:val="20"/>
              </w:rPr>
              <w:t>posse</w:t>
            </w:r>
            <w:r>
              <w:rPr>
                <w:szCs w:val="20"/>
              </w:rPr>
              <w:t xml:space="preserve"> im Ind. Präs.</w:t>
            </w:r>
          </w:p>
          <w:p>
            <w:pPr>
              <w:numPr>
                <w:ilvl w:val="0"/>
                <w:numId w:val="2"/>
              </w:numPr>
              <w:spacing w:before="60"/>
              <w:jc w:val="left"/>
            </w:pPr>
            <w:r>
              <w:rPr>
                <w:szCs w:val="20"/>
              </w:rPr>
              <w:t>bilden die Imperative aller Konjugationen</w:t>
            </w:r>
          </w:p>
          <w:p>
            <w:pPr>
              <w:numPr>
                <w:ilvl w:val="0"/>
                <w:numId w:val="2"/>
              </w:numPr>
              <w:spacing w:before="60"/>
              <w:jc w:val="left"/>
            </w:pPr>
            <w:r>
              <w:t>sortieren die gelernten Wörter nach grammatischen Gruppen (hier: Deklinationen, Ü 3)</w:t>
            </w:r>
          </w:p>
          <w:p>
            <w:pPr>
              <w:numPr>
                <w:ilvl w:val="0"/>
                <w:numId w:val="2"/>
              </w:numPr>
              <w:spacing w:before="60"/>
              <w:jc w:val="left"/>
            </w:pPr>
            <w:r>
              <w:t>identifizieren und benennen als Füllungsmöglichkeiten des Satzglieds AB:</w:t>
            </w:r>
          </w:p>
          <w:p>
            <w:pPr>
              <w:numPr>
                <w:ilvl w:val="0"/>
                <w:numId w:val="1"/>
              </w:numPr>
              <w:ind w:left="340" w:hanging="170"/>
              <w:jc w:val="left"/>
            </w:pPr>
            <w:r>
              <w:rPr>
                <w:szCs w:val="20"/>
              </w:rPr>
              <w:t>Adv.</w:t>
            </w:r>
          </w:p>
          <w:p>
            <w:pPr>
              <w:numPr>
                <w:ilvl w:val="0"/>
                <w:numId w:val="1"/>
              </w:numPr>
              <w:ind w:left="340" w:hanging="170"/>
              <w:jc w:val="left"/>
            </w:pPr>
            <w:r>
              <w:rPr>
                <w:szCs w:val="20"/>
              </w:rPr>
              <w:t xml:space="preserve">Subst. im Akk. ohne Präp. (hier: </w:t>
            </w:r>
            <w:r>
              <w:rPr>
                <w:i/>
                <w:szCs w:val="20"/>
              </w:rPr>
              <w:t>domum</w:t>
            </w:r>
            <w:r>
              <w:rPr>
                <w:szCs w:val="20"/>
              </w:rPr>
              <w:t>)</w:t>
            </w:r>
          </w:p>
          <w:p>
            <w:pPr>
              <w:numPr>
                <w:ilvl w:val="0"/>
                <w:numId w:val="2"/>
              </w:numPr>
              <w:spacing w:before="60"/>
              <w:jc w:val="left"/>
            </w:pPr>
            <w:r>
              <w:rPr>
                <w:szCs w:val="20"/>
              </w:rPr>
              <w:t>unterscheiden Aussage-, Frage- und Befehlssätze</w:t>
            </w:r>
          </w:p>
          <w:p>
            <w:pPr>
              <w:numPr>
                <w:ilvl w:val="0"/>
                <w:numId w:val="2"/>
              </w:numPr>
              <w:spacing w:before="60"/>
              <w:jc w:val="left"/>
            </w:pPr>
            <w:r>
              <w:rPr>
                <w:szCs w:val="20"/>
              </w:rPr>
              <w:t>bestimmen mehrdeutige Formen aus dem Satzzusammenhang heraus eindeutig (Ü 9)</w:t>
            </w:r>
          </w:p>
          <w:p>
            <w:pPr>
              <w:numPr>
                <w:ilvl w:val="0"/>
                <w:numId w:val="2"/>
              </w:numPr>
              <w:spacing w:before="60"/>
              <w:jc w:val="left"/>
            </w:pPr>
            <w:r>
              <w:rPr>
                <w:szCs w:val="20"/>
              </w:rPr>
              <w:t>erläutern die Bedeutung einiger Fremd- und Lehnwörter im Deutschen im Rückgriff auf das lateinische Ursprungswort, wenn ihnen der Zusammenhang bekannt ist (Ü 10)</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Textkompetenz</w:t>
            </w:r>
          </w:p>
          <w:p>
            <w:pPr>
              <w:numPr>
                <w:ilvl w:val="0"/>
                <w:numId w:val="2"/>
              </w:numPr>
              <w:spacing w:before="60"/>
              <w:jc w:val="left"/>
              <w:rPr>
                <w:szCs w:val="20"/>
              </w:rPr>
            </w:pPr>
            <w:r>
              <w:rPr>
                <w:szCs w:val="20"/>
              </w:rPr>
              <w:t>lösen Strukturdifferenzen zielsprachlich angemessen auf (hier: Antwort auf Satzfragen mit einem Wort)</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Kulturkompetenz</w:t>
            </w:r>
          </w:p>
          <w:p>
            <w:pPr>
              <w:numPr>
                <w:ilvl w:val="0"/>
                <w:numId w:val="2"/>
              </w:numPr>
              <w:spacing w:before="60"/>
              <w:jc w:val="left"/>
              <w:rPr>
                <w:szCs w:val="20"/>
              </w:rPr>
            </w:pPr>
            <w:r>
              <w:rPr>
                <w:szCs w:val="20"/>
              </w:rPr>
              <w:t>Schule (Unterricht)</w:t>
            </w:r>
          </w:p>
          <w:p>
            <w:pPr>
              <w:numPr>
                <w:ilvl w:val="0"/>
                <w:numId w:val="2"/>
              </w:numPr>
              <w:spacing w:before="60"/>
              <w:jc w:val="left"/>
              <w:rPr>
                <w:szCs w:val="20"/>
              </w:rPr>
            </w:pPr>
            <w:r>
              <w:rPr>
                <w:szCs w:val="20"/>
              </w:rPr>
              <w:t>Erziehung</w:t>
            </w:r>
          </w:p>
          <w:p>
            <w:pPr>
              <w:numPr>
                <w:ilvl w:val="0"/>
                <w:numId w:val="2"/>
              </w:numPr>
              <w:spacing w:before="60"/>
              <w:jc w:val="left"/>
            </w:pPr>
            <w:r>
              <w:rPr>
                <w:szCs w:val="20"/>
              </w:rPr>
              <w:br w:type="page"/>
              <w:t>beschreiben angeleitet antike Kunstgegenstände</w:t>
            </w:r>
            <w:r>
              <w:t xml:space="preserve"> (S.</w:t>
            </w:r>
            <w:r>
              <w:rPr>
                <w:sz w:val="14"/>
              </w:rPr>
              <w:t> </w:t>
            </w:r>
            <w:r>
              <w:t>35: Neumagener Relief)</w:t>
            </w:r>
          </w:p>
          <w:p>
            <w:pPr>
              <w:numPr>
                <w:ilvl w:val="0"/>
                <w:numId w:val="2"/>
              </w:numPr>
              <w:spacing w:before="60"/>
              <w:jc w:val="left"/>
              <w:rPr>
                <w:szCs w:val="20"/>
              </w:rPr>
            </w:pPr>
            <w:r>
              <w:rPr>
                <w:color w:val="008000"/>
                <w:szCs w:val="20"/>
              </w:rPr>
              <w:t>Fachbegriffe:</w:t>
            </w:r>
          </w:p>
          <w:p>
            <w:pPr>
              <w:numPr>
                <w:ilvl w:val="0"/>
                <w:numId w:val="1"/>
              </w:numPr>
              <w:ind w:left="340" w:hanging="170"/>
              <w:jc w:val="left"/>
            </w:pPr>
            <w:r>
              <w:rPr>
                <w:i/>
                <w:szCs w:val="20"/>
              </w:rPr>
              <w:t xml:space="preserve">ludus </w:t>
            </w:r>
            <w:r>
              <w:t>(+)</w:t>
            </w:r>
          </w:p>
          <w:p>
            <w:pPr>
              <w:numPr>
                <w:ilvl w:val="0"/>
                <w:numId w:val="1"/>
              </w:numPr>
              <w:ind w:left="340" w:hanging="170"/>
              <w:jc w:val="left"/>
            </w:pPr>
            <w:r>
              <w:rPr>
                <w:i/>
                <w:szCs w:val="20"/>
              </w:rPr>
              <w:t xml:space="preserve">magister </w:t>
            </w:r>
            <w:r>
              <w:t>(+)</w:t>
            </w:r>
          </w:p>
          <w:p>
            <w:pPr>
              <w:numPr>
                <w:ilvl w:val="0"/>
                <w:numId w:val="1"/>
              </w:numPr>
              <w:ind w:left="340" w:hanging="170"/>
              <w:jc w:val="left"/>
            </w:pPr>
            <w:r>
              <w:rPr>
                <w:i/>
                <w:szCs w:val="20"/>
              </w:rPr>
              <w:t>grammaticus</w:t>
            </w:r>
            <w:r>
              <w:t xml:space="preserve"> (+)</w:t>
            </w:r>
          </w:p>
          <w:p>
            <w:pPr>
              <w:numPr>
                <w:ilvl w:val="0"/>
                <w:numId w:val="1"/>
              </w:numPr>
              <w:ind w:left="340" w:hanging="170"/>
              <w:jc w:val="left"/>
            </w:pPr>
            <w:r>
              <w:t>Rhetorik (+)</w:t>
            </w:r>
          </w:p>
          <w:p>
            <w:pPr>
              <w:numPr>
                <w:ilvl w:val="0"/>
                <w:numId w:val="1"/>
              </w:numPr>
              <w:ind w:left="340" w:hanging="170"/>
              <w:jc w:val="left"/>
            </w:pPr>
            <w:r>
              <w:rPr>
                <w:i/>
              </w:rPr>
              <w:t xml:space="preserve">orator </w:t>
            </w:r>
            <w:r>
              <w:t>(+)</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CC0066"/>
              </w:rPr>
            </w:pPr>
            <w:r>
              <w:rPr>
                <w:b/>
                <w:color w:val="CC0066"/>
              </w:rPr>
              <w:t>Anmerkungen/Sonstiges</w:t>
            </w:r>
          </w:p>
          <w:p>
            <w:pPr>
              <w:spacing w:before="60"/>
              <w:jc w:val="left"/>
            </w:pPr>
          </w:p>
          <w:p>
            <w:pPr>
              <w:spacing w:before="60"/>
              <w:jc w:val="left"/>
            </w:pPr>
          </w:p>
          <w:p>
            <w:pPr>
              <w:spacing w:before="60"/>
              <w:jc w:val="left"/>
            </w:pPr>
          </w:p>
          <w:p>
            <w:pPr>
              <w:spacing w:before="60"/>
              <w:jc w:val="left"/>
            </w:pPr>
          </w:p>
        </w:tc>
      </w:tr>
    </w:tbl>
    <w:p/>
    <w:p>
      <w:pPr>
        <w:spacing w:after="200" w:line="276"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tc>
          <w:tcPr>
            <w:tcW w:w="2098" w:type="dxa"/>
            <w:vMerge w:val="restart"/>
            <w:tcMar>
              <w:top w:w="57" w:type="dxa"/>
              <w:bottom w:w="57" w:type="dxa"/>
            </w:tcMar>
          </w:tcPr>
          <w:p>
            <w:pPr>
              <w:ind w:left="170" w:hanging="170"/>
              <w:jc w:val="left"/>
              <w:rPr>
                <w:b/>
                <w:color w:val="3333CC"/>
              </w:rPr>
            </w:pPr>
            <w:r>
              <w:rPr>
                <w:b/>
                <w:color w:val="3333CC"/>
              </w:rPr>
              <w:lastRenderedPageBreak/>
              <w:t>5</w:t>
            </w:r>
            <w:r>
              <w:rPr>
                <w:b/>
                <w:color w:val="3333CC"/>
              </w:rPr>
              <w:tab/>
              <w:t>Das Forum Romanum</w:t>
            </w:r>
          </w:p>
          <w:p>
            <w:pPr>
              <w:numPr>
                <w:ilvl w:val="0"/>
                <w:numId w:val="2"/>
              </w:numPr>
              <w:spacing w:before="60"/>
              <w:jc w:val="left"/>
            </w:pPr>
            <w:r>
              <w:t>Adj. und Subst. als Attr.</w:t>
            </w:r>
          </w:p>
          <w:p>
            <w:pPr>
              <w:numPr>
                <w:ilvl w:val="0"/>
                <w:numId w:val="2"/>
              </w:numPr>
              <w:spacing w:before="60"/>
              <w:jc w:val="left"/>
            </w:pPr>
            <w:r>
              <w:t>Adj. als PN</w:t>
            </w:r>
          </w:p>
          <w:p>
            <w:pPr>
              <w:numPr>
                <w:ilvl w:val="0"/>
                <w:numId w:val="2"/>
              </w:numPr>
              <w:spacing w:before="60"/>
              <w:jc w:val="left"/>
            </w:pPr>
            <w:r>
              <w:t>KNG-Kongruenz</w:t>
            </w:r>
          </w:p>
          <w:p>
            <w:pPr>
              <w:numPr>
                <w:ilvl w:val="0"/>
                <w:numId w:val="2"/>
              </w:numPr>
              <w:spacing w:before="60"/>
              <w:jc w:val="left"/>
            </w:pPr>
            <w:r>
              <w:t>Adj. der o-/a-Dekl.</w:t>
            </w:r>
          </w:p>
        </w:tc>
        <w:tc>
          <w:tcPr>
            <w:tcW w:w="6974" w:type="dxa"/>
            <w:tcMar>
              <w:top w:w="57" w:type="dxa"/>
              <w:bottom w:w="57" w:type="dxa"/>
            </w:tcMar>
          </w:tcPr>
          <w:p>
            <w:pPr>
              <w:jc w:val="left"/>
              <w:rPr>
                <w:b/>
                <w:color w:val="FF0066"/>
              </w:rPr>
            </w:pPr>
            <w:r>
              <w:rPr>
                <w:b/>
                <w:color w:val="CC0066"/>
              </w:rPr>
              <w:t>Sprachkompetenz</w:t>
            </w:r>
          </w:p>
          <w:p>
            <w:pPr>
              <w:numPr>
                <w:ilvl w:val="0"/>
                <w:numId w:val="2"/>
              </w:numPr>
              <w:spacing w:before="60"/>
              <w:jc w:val="left"/>
            </w:pPr>
            <w:r>
              <w:t>30 neue Vok. (</w:t>
            </w:r>
            <w:r>
              <w:rPr>
                <w:szCs w:val="20"/>
              </w:rPr>
              <w:t>insges</w:t>
            </w:r>
            <w:r>
              <w:t>. 168)</w:t>
            </w:r>
          </w:p>
          <w:p>
            <w:pPr>
              <w:numPr>
                <w:ilvl w:val="0"/>
                <w:numId w:val="2"/>
              </w:numPr>
              <w:spacing w:before="60"/>
              <w:jc w:val="left"/>
            </w:pPr>
            <w:r>
              <w:t>identifizieren und benennen als Füllungsmöglichkeiten des Satzglieds AB:</w:t>
            </w:r>
          </w:p>
          <w:p>
            <w:pPr>
              <w:numPr>
                <w:ilvl w:val="0"/>
                <w:numId w:val="1"/>
              </w:numPr>
              <w:ind w:left="340" w:hanging="170"/>
              <w:jc w:val="left"/>
            </w:pPr>
            <w:r>
              <w:rPr>
                <w:szCs w:val="20"/>
              </w:rPr>
              <w:t>Subst. im Akk. (mit Präp.)</w:t>
            </w:r>
          </w:p>
          <w:p>
            <w:pPr>
              <w:numPr>
                <w:ilvl w:val="0"/>
                <w:numId w:val="2"/>
              </w:numPr>
              <w:spacing w:before="60"/>
              <w:jc w:val="left"/>
            </w:pPr>
            <w:r>
              <w:t>identifizieren und benennen als Füllungsmöglichkeiten des Satzglieds Attribut:</w:t>
            </w:r>
          </w:p>
          <w:p>
            <w:pPr>
              <w:numPr>
                <w:ilvl w:val="0"/>
                <w:numId w:val="1"/>
              </w:numPr>
              <w:ind w:left="340" w:hanging="170"/>
              <w:jc w:val="left"/>
            </w:pPr>
            <w:r>
              <w:rPr>
                <w:szCs w:val="20"/>
              </w:rPr>
              <w:t>Adjektivattribut</w:t>
            </w:r>
          </w:p>
          <w:p>
            <w:pPr>
              <w:numPr>
                <w:ilvl w:val="0"/>
                <w:numId w:val="1"/>
              </w:numPr>
              <w:ind w:left="340" w:hanging="170"/>
              <w:jc w:val="left"/>
            </w:pPr>
            <w:r>
              <w:rPr>
                <w:szCs w:val="20"/>
              </w:rPr>
              <w:t>Apposition</w:t>
            </w:r>
          </w:p>
          <w:p>
            <w:pPr>
              <w:numPr>
                <w:ilvl w:val="0"/>
                <w:numId w:val="2"/>
              </w:numPr>
              <w:spacing w:before="60"/>
              <w:jc w:val="left"/>
            </w:pPr>
            <w:r>
              <w:rPr>
                <w:szCs w:val="20"/>
              </w:rPr>
              <w:t>identifizieren nach KNG-Kongruenz zusammengehörende Wortgruppen</w:t>
            </w:r>
          </w:p>
          <w:p>
            <w:pPr>
              <w:numPr>
                <w:ilvl w:val="0"/>
                <w:numId w:val="2"/>
              </w:numPr>
              <w:spacing w:before="60"/>
              <w:jc w:val="left"/>
            </w:pPr>
            <w:r>
              <w:t>sortieren die gelernten Wörter nach grammatischen Gruppen (hier: Wortarten, Ü 1)</w:t>
            </w:r>
          </w:p>
          <w:p>
            <w:pPr>
              <w:numPr>
                <w:ilvl w:val="0"/>
                <w:numId w:val="2"/>
              </w:numPr>
              <w:spacing w:before="60"/>
              <w:jc w:val="left"/>
            </w:pPr>
            <w:r>
              <w:rPr>
                <w:szCs w:val="20"/>
              </w:rPr>
              <w:t>entnehmen dem Wörterverzeichnis des Lehrbuches Wortbedeutungen (Ü 8)</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Textkompetenz</w:t>
            </w:r>
          </w:p>
          <w:p>
            <w:pPr>
              <w:numPr>
                <w:ilvl w:val="0"/>
                <w:numId w:val="2"/>
              </w:numPr>
              <w:spacing w:before="60"/>
              <w:jc w:val="left"/>
            </w:pPr>
            <w:r>
              <w:t xml:space="preserve">finden zu </w:t>
            </w:r>
            <w:r>
              <w:rPr>
                <w:szCs w:val="20"/>
              </w:rPr>
              <w:t>vorgegebenen</w:t>
            </w:r>
            <w:r>
              <w:t xml:space="preserve"> Abschnitten passende Überschriften</w:t>
            </w:r>
          </w:p>
          <w:p>
            <w:pPr>
              <w:numPr>
                <w:ilvl w:val="0"/>
                <w:numId w:val="2"/>
              </w:numPr>
              <w:spacing w:before="60"/>
              <w:jc w:val="left"/>
            </w:pPr>
            <w:r>
              <w:rPr>
                <w:szCs w:val="20"/>
              </w:rPr>
              <w:t>lösen Strukturdifferenzen zielsprachlich angemessen auf (hier: Wortstellung, Ü 5)</w:t>
            </w:r>
          </w:p>
          <w:p>
            <w:pPr>
              <w:numPr>
                <w:ilvl w:val="0"/>
                <w:numId w:val="2"/>
              </w:numPr>
              <w:spacing w:before="60"/>
              <w:jc w:val="left"/>
            </w:pPr>
            <w:r>
              <w:t>setzen den Inhalt des übersetzten Textes gestaltend um (hier: Verfassen einer Fortsetzung)</w:t>
            </w:r>
          </w:p>
          <w:p>
            <w:pPr>
              <w:numPr>
                <w:ilvl w:val="0"/>
                <w:numId w:val="2"/>
              </w:numPr>
              <w:spacing w:before="60"/>
              <w:jc w:val="left"/>
            </w:pPr>
            <w:r>
              <w:t>vergleichen moderne Problemstellungen und Problemlösungen mit antiken (S.</w:t>
            </w:r>
            <w:r>
              <w:rPr>
                <w:sz w:val="14"/>
              </w:rPr>
              <w:t> </w:t>
            </w:r>
            <w:r>
              <w:t>45, Aufg.</w:t>
            </w:r>
            <w:r>
              <w:rPr>
                <w:sz w:val="14"/>
              </w:rPr>
              <w:t xml:space="preserve"> </w:t>
            </w:r>
            <w:r>
              <w:t>2)</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Kulturkompetenz</w:t>
            </w:r>
          </w:p>
          <w:p>
            <w:pPr>
              <w:numPr>
                <w:ilvl w:val="0"/>
                <w:numId w:val="2"/>
              </w:numPr>
              <w:spacing w:before="60"/>
              <w:jc w:val="left"/>
              <w:rPr>
                <w:szCs w:val="20"/>
              </w:rPr>
            </w:pPr>
            <w:r>
              <w:rPr>
                <w:szCs w:val="20"/>
              </w:rPr>
              <w:t>Topographie der Stadt Rom:</w:t>
            </w:r>
          </w:p>
          <w:p>
            <w:pPr>
              <w:numPr>
                <w:ilvl w:val="0"/>
                <w:numId w:val="1"/>
              </w:numPr>
              <w:ind w:left="340" w:hanging="170"/>
              <w:jc w:val="left"/>
              <w:rPr>
                <w:szCs w:val="20"/>
              </w:rPr>
            </w:pPr>
            <w:r>
              <w:rPr>
                <w:szCs w:val="20"/>
              </w:rPr>
              <w:t>Forum Romanum</w:t>
            </w:r>
          </w:p>
          <w:p>
            <w:pPr>
              <w:numPr>
                <w:ilvl w:val="0"/>
                <w:numId w:val="2"/>
              </w:numPr>
              <w:spacing w:before="60"/>
              <w:jc w:val="left"/>
              <w:rPr>
                <w:szCs w:val="20"/>
              </w:rPr>
            </w:pPr>
            <w:r>
              <w:rPr>
                <w:szCs w:val="20"/>
              </w:rPr>
              <w:t>Götter:</w:t>
            </w:r>
          </w:p>
          <w:p>
            <w:pPr>
              <w:numPr>
                <w:ilvl w:val="0"/>
                <w:numId w:val="1"/>
              </w:numPr>
              <w:ind w:left="340" w:hanging="170"/>
              <w:jc w:val="left"/>
              <w:rPr>
                <w:szCs w:val="20"/>
              </w:rPr>
            </w:pPr>
            <w:r>
              <w:rPr>
                <w:szCs w:val="20"/>
              </w:rPr>
              <w:t>Vesta (S.</w:t>
            </w:r>
            <w:r>
              <w:rPr>
                <w:sz w:val="14"/>
                <w:szCs w:val="20"/>
              </w:rPr>
              <w:t> </w:t>
            </w:r>
            <w:r>
              <w:rPr>
                <w:szCs w:val="20"/>
              </w:rPr>
              <w:t>44</w:t>
            </w:r>
            <w:r>
              <w:rPr>
                <w:sz w:val="14"/>
              </w:rPr>
              <w:t> </w:t>
            </w:r>
            <w:r>
              <w:t>f.</w:t>
            </w:r>
            <w:r>
              <w:rPr>
                <w:szCs w:val="20"/>
              </w:rPr>
              <w:t>)</w:t>
            </w:r>
          </w:p>
          <w:p>
            <w:pPr>
              <w:numPr>
                <w:ilvl w:val="0"/>
                <w:numId w:val="2"/>
              </w:numPr>
              <w:spacing w:before="60"/>
              <w:jc w:val="left"/>
              <w:rPr>
                <w:szCs w:val="20"/>
              </w:rPr>
            </w:pPr>
            <w:r>
              <w:rPr>
                <w:szCs w:val="20"/>
              </w:rPr>
              <w:t>Tempel (S.</w:t>
            </w:r>
            <w:r>
              <w:rPr>
                <w:sz w:val="14"/>
                <w:szCs w:val="20"/>
              </w:rPr>
              <w:t> </w:t>
            </w:r>
            <w:r>
              <w:rPr>
                <w:szCs w:val="20"/>
              </w:rPr>
              <w:t>44)</w:t>
            </w:r>
          </w:p>
          <w:p>
            <w:pPr>
              <w:numPr>
                <w:ilvl w:val="0"/>
                <w:numId w:val="2"/>
              </w:numPr>
              <w:spacing w:before="60"/>
              <w:jc w:val="left"/>
            </w:pPr>
            <w:r>
              <w:rPr>
                <w:szCs w:val="20"/>
              </w:rPr>
              <w:t>nutzen das Lehrbuch als Informationsquelle (hier: Karten im hinteren Einband des Lehrbuchs)</w:t>
            </w:r>
          </w:p>
          <w:p>
            <w:pPr>
              <w:numPr>
                <w:ilvl w:val="0"/>
                <w:numId w:val="2"/>
              </w:numPr>
              <w:spacing w:before="60"/>
              <w:jc w:val="left"/>
            </w:pPr>
            <w:r>
              <w:t>benennen ihren Eindruck bei der Rezeption römischer Kunst und Architektur (S.</w:t>
            </w:r>
            <w:r>
              <w:rPr>
                <w:sz w:val="14"/>
              </w:rPr>
              <w:t> </w:t>
            </w:r>
            <w:r>
              <w:t>44</w:t>
            </w:r>
            <w:r>
              <w:rPr>
                <w:sz w:val="14"/>
              </w:rPr>
              <w:t> </w:t>
            </w:r>
            <w:r>
              <w:t>f.)</w:t>
            </w:r>
          </w:p>
          <w:p>
            <w:pPr>
              <w:numPr>
                <w:ilvl w:val="0"/>
                <w:numId w:val="2"/>
              </w:numPr>
              <w:spacing w:before="60"/>
              <w:jc w:val="left"/>
              <w:rPr>
                <w:szCs w:val="20"/>
              </w:rPr>
            </w:pPr>
            <w:r>
              <w:rPr>
                <w:color w:val="008000"/>
                <w:szCs w:val="20"/>
              </w:rPr>
              <w:t>Fachbegriffe:</w:t>
            </w:r>
          </w:p>
          <w:p>
            <w:pPr>
              <w:numPr>
                <w:ilvl w:val="0"/>
                <w:numId w:val="1"/>
              </w:numPr>
              <w:ind w:left="340" w:hanging="170"/>
              <w:jc w:val="left"/>
            </w:pPr>
            <w:r>
              <w:t>Forum Romanum</w:t>
            </w:r>
            <w:r>
              <w:rPr>
                <w:i/>
                <w:szCs w:val="20"/>
              </w:rPr>
              <w:t xml:space="preserve"> </w:t>
            </w:r>
            <w:r>
              <w:t>(+)</w:t>
            </w:r>
          </w:p>
          <w:p>
            <w:pPr>
              <w:numPr>
                <w:ilvl w:val="0"/>
                <w:numId w:val="1"/>
              </w:numPr>
              <w:ind w:left="340" w:hanging="170"/>
              <w:jc w:val="left"/>
            </w:pPr>
            <w:r>
              <w:rPr>
                <w:i/>
                <w:szCs w:val="20"/>
              </w:rPr>
              <w:t xml:space="preserve">rostra </w:t>
            </w:r>
            <w:r>
              <w:t>(+)</w:t>
            </w:r>
          </w:p>
          <w:p>
            <w:pPr>
              <w:numPr>
                <w:ilvl w:val="0"/>
                <w:numId w:val="1"/>
              </w:numPr>
              <w:ind w:left="340" w:hanging="170"/>
              <w:jc w:val="left"/>
            </w:pPr>
            <w:r>
              <w:rPr>
                <w:i/>
                <w:szCs w:val="20"/>
              </w:rPr>
              <w:t xml:space="preserve">curia </w:t>
            </w:r>
            <w:r>
              <w:t>(+)</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CC0066"/>
              </w:rPr>
            </w:pPr>
            <w:r>
              <w:rPr>
                <w:b/>
                <w:color w:val="CC0066"/>
              </w:rPr>
              <w:t>Anmerkungen/Sonstiges</w:t>
            </w:r>
          </w:p>
          <w:p>
            <w:pPr>
              <w:spacing w:before="60"/>
              <w:jc w:val="left"/>
            </w:pPr>
          </w:p>
          <w:p>
            <w:pPr>
              <w:spacing w:before="60"/>
              <w:jc w:val="left"/>
            </w:pPr>
          </w:p>
          <w:p>
            <w:pPr>
              <w:spacing w:before="60"/>
              <w:jc w:val="left"/>
            </w:pPr>
          </w:p>
          <w:p>
            <w:pPr>
              <w:spacing w:before="60"/>
              <w:jc w:val="left"/>
            </w:pPr>
          </w:p>
        </w:tc>
      </w:tr>
    </w:tbl>
    <w:p/>
    <w:p>
      <w:pPr>
        <w:spacing w:after="120" w:line="240"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tc>
          <w:tcPr>
            <w:tcW w:w="2098" w:type="dxa"/>
            <w:vMerge w:val="restart"/>
            <w:tcMar>
              <w:top w:w="57" w:type="dxa"/>
              <w:bottom w:w="57" w:type="dxa"/>
            </w:tcMar>
          </w:tcPr>
          <w:p>
            <w:pPr>
              <w:ind w:left="170" w:hanging="170"/>
              <w:jc w:val="left"/>
              <w:rPr>
                <w:b/>
                <w:color w:val="3333CC"/>
              </w:rPr>
            </w:pPr>
            <w:r>
              <w:rPr>
                <w:b/>
                <w:color w:val="3333CC"/>
              </w:rPr>
              <w:lastRenderedPageBreak/>
              <w:t>6</w:t>
            </w:r>
            <w:r>
              <w:rPr>
                <w:b/>
                <w:color w:val="3333CC"/>
              </w:rPr>
              <w:tab/>
              <w:t>Im Circus Maximus</w:t>
            </w:r>
          </w:p>
          <w:p>
            <w:pPr>
              <w:numPr>
                <w:ilvl w:val="0"/>
                <w:numId w:val="2"/>
              </w:numPr>
              <w:spacing w:before="60"/>
              <w:jc w:val="left"/>
            </w:pPr>
            <w:r>
              <w:t>Gen. als Attr.</w:t>
            </w:r>
          </w:p>
          <w:p>
            <w:pPr>
              <w:numPr>
                <w:ilvl w:val="0"/>
                <w:numId w:val="2"/>
              </w:numPr>
              <w:spacing w:before="60"/>
              <w:jc w:val="left"/>
            </w:pPr>
            <w:r>
              <w:t>Pron. poss. (refl. und nicht refl.)</w:t>
            </w:r>
          </w:p>
        </w:tc>
        <w:tc>
          <w:tcPr>
            <w:tcW w:w="6974" w:type="dxa"/>
            <w:tcMar>
              <w:top w:w="57" w:type="dxa"/>
              <w:bottom w:w="57" w:type="dxa"/>
            </w:tcMar>
          </w:tcPr>
          <w:p>
            <w:pPr>
              <w:jc w:val="left"/>
              <w:rPr>
                <w:b/>
                <w:color w:val="FF0066"/>
              </w:rPr>
            </w:pPr>
            <w:r>
              <w:rPr>
                <w:b/>
                <w:color w:val="CC0066"/>
              </w:rPr>
              <w:t>Sprachkompetenz</w:t>
            </w:r>
          </w:p>
          <w:p>
            <w:pPr>
              <w:numPr>
                <w:ilvl w:val="0"/>
                <w:numId w:val="2"/>
              </w:numPr>
              <w:spacing w:before="60"/>
              <w:jc w:val="left"/>
            </w:pPr>
            <w:r>
              <w:t>38 neue Vok. (</w:t>
            </w:r>
            <w:r>
              <w:rPr>
                <w:szCs w:val="20"/>
              </w:rPr>
              <w:t>insges</w:t>
            </w:r>
            <w:r>
              <w:t>. 206)</w:t>
            </w:r>
          </w:p>
          <w:p>
            <w:pPr>
              <w:numPr>
                <w:ilvl w:val="0"/>
                <w:numId w:val="2"/>
              </w:numPr>
              <w:spacing w:before="60"/>
              <w:jc w:val="left"/>
            </w:pPr>
            <w:r>
              <w:t>identifizieren und benennen als Füllungsmöglichkeiten des Satzglieds Attribut:</w:t>
            </w:r>
          </w:p>
          <w:p>
            <w:pPr>
              <w:numPr>
                <w:ilvl w:val="0"/>
                <w:numId w:val="1"/>
              </w:numPr>
              <w:ind w:left="340" w:hanging="170"/>
              <w:jc w:val="left"/>
            </w:pPr>
            <w:r>
              <w:rPr>
                <w:szCs w:val="20"/>
              </w:rPr>
              <w:t>Genitivattribut</w:t>
            </w:r>
          </w:p>
          <w:p>
            <w:pPr>
              <w:numPr>
                <w:ilvl w:val="0"/>
                <w:numId w:val="2"/>
              </w:numPr>
              <w:spacing w:before="60"/>
              <w:jc w:val="left"/>
            </w:pPr>
            <w:r>
              <w:rPr>
                <w:szCs w:val="20"/>
              </w:rPr>
              <w:t>unterscheiden Pronomina</w:t>
            </w:r>
            <w:r>
              <w:t xml:space="preserve"> (hier: refl. und nicht refl. Pron. poss., Ü 3) (+)</w:t>
            </w:r>
          </w:p>
          <w:p>
            <w:pPr>
              <w:numPr>
                <w:ilvl w:val="0"/>
                <w:numId w:val="2"/>
              </w:numPr>
              <w:spacing w:before="60"/>
              <w:jc w:val="left"/>
              <w:rPr>
                <w:szCs w:val="20"/>
              </w:rPr>
            </w:pPr>
            <w:r>
              <w:rPr>
                <w:szCs w:val="20"/>
              </w:rPr>
              <w:t>geben die Paradigmen wieder:</w:t>
            </w:r>
          </w:p>
          <w:p>
            <w:pPr>
              <w:numPr>
                <w:ilvl w:val="0"/>
                <w:numId w:val="1"/>
              </w:numPr>
              <w:ind w:left="340" w:hanging="170"/>
              <w:jc w:val="left"/>
              <w:rPr>
                <w:szCs w:val="20"/>
              </w:rPr>
            </w:pPr>
            <w:r>
              <w:rPr>
                <w:szCs w:val="20"/>
              </w:rPr>
              <w:t>der Possessivpronomina (+)</w:t>
            </w:r>
          </w:p>
          <w:p>
            <w:pPr>
              <w:numPr>
                <w:ilvl w:val="0"/>
                <w:numId w:val="2"/>
              </w:numPr>
              <w:spacing w:before="60"/>
              <w:jc w:val="left"/>
            </w:pPr>
            <w:r>
              <w:t xml:space="preserve">erklären an einfachen deutschen und lateinischen Wörtern die Bildhaftigkeit der Sprache (hier: </w:t>
            </w:r>
            <w:r>
              <w:rPr>
                <w:i/>
              </w:rPr>
              <w:t>pecunia</w:t>
            </w:r>
            <w:r>
              <w:t>)</w:t>
            </w:r>
          </w:p>
          <w:p>
            <w:pPr>
              <w:numPr>
                <w:ilvl w:val="0"/>
                <w:numId w:val="2"/>
              </w:numPr>
              <w:spacing w:before="60"/>
              <w:jc w:val="left"/>
            </w:pPr>
            <w:r>
              <w:t>sortieren die gelernten Wörter nach grammatischen Gruppen (hier: Wortarten, Ü 4)</w:t>
            </w:r>
          </w:p>
          <w:p>
            <w:pPr>
              <w:numPr>
                <w:ilvl w:val="0"/>
                <w:numId w:val="2"/>
              </w:numPr>
              <w:spacing w:before="60"/>
              <w:jc w:val="left"/>
            </w:pPr>
            <w:r>
              <w:rPr>
                <w:szCs w:val="20"/>
              </w:rPr>
              <w:t>wenden ihr Wissen um die Wortbildung auf parallele Beispiele bei anderen Wörtern an (Ü 8) (+)</w:t>
            </w:r>
          </w:p>
          <w:p>
            <w:pPr>
              <w:numPr>
                <w:ilvl w:val="0"/>
                <w:numId w:val="2"/>
              </w:numPr>
              <w:spacing w:before="60"/>
              <w:jc w:val="left"/>
            </w:pPr>
            <w:r>
              <w:rPr>
                <w:szCs w:val="20"/>
              </w:rPr>
              <w:t>erschließen Formen mit Hilfe der grundlegenden Bildungsprinzipien (hier: Nomen agentis, Ü 8) (+)</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Textkompetenz</w:t>
            </w:r>
          </w:p>
          <w:p>
            <w:pPr>
              <w:numPr>
                <w:ilvl w:val="0"/>
                <w:numId w:val="2"/>
              </w:numPr>
              <w:spacing w:before="60"/>
              <w:jc w:val="left"/>
            </w:pPr>
            <w:r>
              <w:t xml:space="preserve">arbeiten </w:t>
            </w:r>
            <w:r>
              <w:rPr>
                <w:szCs w:val="20"/>
              </w:rPr>
              <w:t>aufgabenbezogen</w:t>
            </w:r>
            <w:r>
              <w:t xml:space="preserve"> vorherrschende Textmerkmale heraus (hier: Wort- und Sachfelder)</w:t>
            </w:r>
          </w:p>
          <w:p>
            <w:pPr>
              <w:numPr>
                <w:ilvl w:val="0"/>
                <w:numId w:val="2"/>
              </w:numPr>
              <w:spacing w:before="60"/>
              <w:jc w:val="left"/>
            </w:pPr>
            <w:r>
              <w:t>analysieren einfache Textstrukturen anhand von Konnektoren</w:t>
            </w:r>
          </w:p>
          <w:p>
            <w:pPr>
              <w:numPr>
                <w:ilvl w:val="0"/>
                <w:numId w:val="2"/>
              </w:numPr>
              <w:spacing w:before="60"/>
              <w:jc w:val="left"/>
            </w:pPr>
            <w:r>
              <w:t>benennen textsortenspezifische Merkmale (hier: Dialog)</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Kulturkompetenz</w:t>
            </w:r>
          </w:p>
          <w:p>
            <w:pPr>
              <w:numPr>
                <w:ilvl w:val="0"/>
                <w:numId w:val="2"/>
              </w:numPr>
              <w:spacing w:before="60"/>
              <w:jc w:val="left"/>
              <w:rPr>
                <w:szCs w:val="20"/>
              </w:rPr>
            </w:pPr>
            <w:r>
              <w:rPr>
                <w:szCs w:val="20"/>
              </w:rPr>
              <w:t>Circus (Wagenrennen</w:t>
            </w:r>
            <w:r>
              <w:t>)</w:t>
            </w:r>
          </w:p>
          <w:p>
            <w:pPr>
              <w:numPr>
                <w:ilvl w:val="0"/>
                <w:numId w:val="2"/>
              </w:numPr>
              <w:spacing w:before="60"/>
              <w:jc w:val="left"/>
              <w:rPr>
                <w:szCs w:val="20"/>
              </w:rPr>
            </w:pPr>
            <w:r>
              <w:rPr>
                <w:szCs w:val="20"/>
              </w:rPr>
              <w:t>römisches Alltagsleben:</w:t>
            </w:r>
          </w:p>
          <w:p>
            <w:pPr>
              <w:numPr>
                <w:ilvl w:val="0"/>
                <w:numId w:val="1"/>
              </w:numPr>
              <w:ind w:left="340" w:hanging="170"/>
              <w:jc w:val="left"/>
              <w:rPr>
                <w:szCs w:val="20"/>
              </w:rPr>
            </w:pPr>
            <w:r>
              <w:rPr>
                <w:szCs w:val="20"/>
              </w:rPr>
              <w:t xml:space="preserve">Kleidung (hier: </w:t>
            </w:r>
            <w:r>
              <w:rPr>
                <w:i/>
                <w:szCs w:val="20"/>
              </w:rPr>
              <w:t>tunica</w:t>
            </w:r>
            <w:r>
              <w:rPr>
                <w:szCs w:val="20"/>
              </w:rPr>
              <w:t>)</w:t>
            </w:r>
          </w:p>
          <w:p>
            <w:pPr>
              <w:numPr>
                <w:ilvl w:val="0"/>
                <w:numId w:val="2"/>
              </w:numPr>
              <w:spacing w:before="60"/>
              <w:jc w:val="left"/>
              <w:rPr>
                <w:szCs w:val="20"/>
              </w:rPr>
            </w:pPr>
            <w:r>
              <w:t>nutzen das Lehrbuch als Informationsquelle (hier: Abbildungen)</w:t>
            </w:r>
          </w:p>
          <w:p>
            <w:pPr>
              <w:numPr>
                <w:ilvl w:val="0"/>
                <w:numId w:val="2"/>
              </w:numPr>
              <w:spacing w:before="60"/>
              <w:jc w:val="left"/>
              <w:rPr>
                <w:szCs w:val="20"/>
              </w:rPr>
            </w:pPr>
            <w:r>
              <w:rPr>
                <w:szCs w:val="20"/>
              </w:rPr>
              <w:t xml:space="preserve">vergleichen in ausgewählten Bereichen die römische Lebenswelt mit der eigenen Erfahrungswelt (hier: </w:t>
            </w:r>
            <w:r>
              <w:rPr>
                <w:i/>
                <w:szCs w:val="20"/>
              </w:rPr>
              <w:t>circus</w:t>
            </w:r>
            <w:r>
              <w:rPr>
                <w:szCs w:val="20"/>
              </w:rPr>
              <w:t xml:space="preserve"> – Zirkus)</w:t>
            </w:r>
          </w:p>
          <w:p>
            <w:pPr>
              <w:numPr>
                <w:ilvl w:val="0"/>
                <w:numId w:val="2"/>
              </w:numPr>
              <w:spacing w:before="60"/>
              <w:jc w:val="left"/>
            </w:pPr>
            <w:r>
              <w:rPr>
                <w:szCs w:val="20"/>
              </w:rPr>
              <w:br w:type="page"/>
              <w:t>beschreiben angeleitet antike Kunstgegenstände</w:t>
            </w:r>
            <w:r>
              <w:t xml:space="preserve"> (S.</w:t>
            </w:r>
            <w:r>
              <w:rPr>
                <w:sz w:val="14"/>
              </w:rPr>
              <w:t> </w:t>
            </w:r>
            <w:r>
              <w:t>49: Relief eines Wagenrennens; S.</w:t>
            </w:r>
            <w:r>
              <w:rPr>
                <w:sz w:val="14"/>
              </w:rPr>
              <w:t> </w:t>
            </w:r>
            <w:r>
              <w:t>51: Polydus-Mosaik)</w:t>
            </w:r>
          </w:p>
          <w:p>
            <w:pPr>
              <w:numPr>
                <w:ilvl w:val="0"/>
                <w:numId w:val="2"/>
              </w:numPr>
              <w:spacing w:before="60"/>
              <w:jc w:val="left"/>
              <w:rPr>
                <w:szCs w:val="20"/>
              </w:rPr>
            </w:pPr>
            <w:r>
              <w:rPr>
                <w:color w:val="008000"/>
                <w:szCs w:val="20"/>
              </w:rPr>
              <w:t>Fachbegriffe:</w:t>
            </w:r>
          </w:p>
          <w:p>
            <w:pPr>
              <w:numPr>
                <w:ilvl w:val="0"/>
                <w:numId w:val="1"/>
              </w:numPr>
              <w:ind w:left="340" w:hanging="170"/>
              <w:jc w:val="left"/>
            </w:pPr>
            <w:r>
              <w:t>Circus Maximus</w:t>
            </w:r>
            <w:r>
              <w:rPr>
                <w:i/>
                <w:szCs w:val="20"/>
              </w:rPr>
              <w:t xml:space="preserve"> </w:t>
            </w:r>
            <w:r>
              <w:t>(+)</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CC0066"/>
              </w:rPr>
            </w:pPr>
            <w:r>
              <w:rPr>
                <w:b/>
                <w:color w:val="CC0066"/>
              </w:rPr>
              <w:t>Anmerkungen/Sonstiges</w:t>
            </w:r>
          </w:p>
          <w:p>
            <w:pPr>
              <w:spacing w:before="60"/>
              <w:jc w:val="left"/>
            </w:pPr>
          </w:p>
          <w:p>
            <w:pPr>
              <w:spacing w:before="60"/>
              <w:jc w:val="left"/>
            </w:pPr>
          </w:p>
          <w:p>
            <w:pPr>
              <w:spacing w:before="60"/>
              <w:jc w:val="left"/>
            </w:pPr>
          </w:p>
          <w:p>
            <w:pPr>
              <w:spacing w:before="60"/>
              <w:jc w:val="left"/>
            </w:pPr>
          </w:p>
        </w:tc>
      </w:tr>
    </w:tbl>
    <w:p/>
    <w:p>
      <w:pPr>
        <w:spacing w:after="120" w:line="240"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tc>
          <w:tcPr>
            <w:tcW w:w="2098" w:type="dxa"/>
            <w:vMerge w:val="restart"/>
            <w:tcMar>
              <w:top w:w="57" w:type="dxa"/>
              <w:bottom w:w="57" w:type="dxa"/>
            </w:tcMar>
          </w:tcPr>
          <w:p>
            <w:pPr>
              <w:ind w:left="170" w:hanging="170"/>
              <w:jc w:val="left"/>
              <w:rPr>
                <w:b/>
                <w:color w:val="3333CC"/>
              </w:rPr>
            </w:pPr>
            <w:r>
              <w:rPr>
                <w:b/>
                <w:color w:val="3333CC"/>
              </w:rPr>
              <w:lastRenderedPageBreak/>
              <w:t>7</w:t>
            </w:r>
            <w:r>
              <w:rPr>
                <w:b/>
                <w:color w:val="3333CC"/>
              </w:rPr>
              <w:tab/>
              <w:t>Badevergnügen für alle</w:t>
            </w:r>
          </w:p>
          <w:p>
            <w:pPr>
              <w:numPr>
                <w:ilvl w:val="0"/>
                <w:numId w:val="2"/>
              </w:numPr>
              <w:spacing w:before="60"/>
              <w:jc w:val="left"/>
            </w:pPr>
            <w:r>
              <w:t>Abl. loc., sep., soc., instr., temp.</w:t>
            </w:r>
          </w:p>
          <w:p>
            <w:pPr>
              <w:numPr>
                <w:ilvl w:val="0"/>
                <w:numId w:val="2"/>
              </w:numPr>
              <w:spacing w:before="60"/>
              <w:jc w:val="left"/>
              <w:rPr>
                <w:i/>
              </w:rPr>
            </w:pPr>
            <w:r>
              <w:rPr>
                <w:i/>
              </w:rPr>
              <w:t>ire</w:t>
            </w:r>
          </w:p>
          <w:p>
            <w:pPr>
              <w:numPr>
                <w:ilvl w:val="0"/>
                <w:numId w:val="2"/>
              </w:numPr>
              <w:spacing w:before="60"/>
              <w:jc w:val="left"/>
            </w:pPr>
            <w:r>
              <w:t>Präpositionen</w:t>
            </w:r>
          </w:p>
        </w:tc>
        <w:tc>
          <w:tcPr>
            <w:tcW w:w="6974" w:type="dxa"/>
            <w:tcMar>
              <w:top w:w="57" w:type="dxa"/>
              <w:bottom w:w="57" w:type="dxa"/>
            </w:tcMar>
          </w:tcPr>
          <w:p>
            <w:pPr>
              <w:jc w:val="left"/>
              <w:rPr>
                <w:b/>
                <w:color w:val="FF0066"/>
              </w:rPr>
            </w:pPr>
            <w:r>
              <w:rPr>
                <w:b/>
                <w:color w:val="CC0066"/>
              </w:rPr>
              <w:t>Sprachkompetenz</w:t>
            </w:r>
          </w:p>
          <w:p>
            <w:pPr>
              <w:numPr>
                <w:ilvl w:val="0"/>
                <w:numId w:val="2"/>
              </w:numPr>
              <w:spacing w:before="60"/>
              <w:jc w:val="left"/>
            </w:pPr>
            <w:r>
              <w:t>31 neue Vok. (</w:t>
            </w:r>
            <w:r>
              <w:rPr>
                <w:szCs w:val="20"/>
              </w:rPr>
              <w:t>insges</w:t>
            </w:r>
            <w:r>
              <w:t>. 237)</w:t>
            </w:r>
          </w:p>
          <w:p>
            <w:pPr>
              <w:numPr>
                <w:ilvl w:val="0"/>
                <w:numId w:val="2"/>
              </w:numPr>
              <w:spacing w:before="60"/>
              <w:jc w:val="left"/>
            </w:pPr>
            <w:r>
              <w:rPr>
                <w:szCs w:val="20"/>
              </w:rPr>
              <w:t>benennen den Sammelkasus Ablativ als Kasus der AB, differenzieren die Funktionen (lok. und temp., sep., instr.) und verwenden dafür im Deutschen einen Präpositionalausdruck</w:t>
            </w:r>
          </w:p>
          <w:p>
            <w:pPr>
              <w:numPr>
                <w:ilvl w:val="0"/>
                <w:numId w:val="2"/>
              </w:numPr>
              <w:spacing w:before="60"/>
              <w:jc w:val="left"/>
            </w:pPr>
            <w:r>
              <w:t>identifizieren und benennen als Füllungsmöglichkeiten des Satzglieds AB:</w:t>
            </w:r>
          </w:p>
          <w:p>
            <w:pPr>
              <w:numPr>
                <w:ilvl w:val="0"/>
                <w:numId w:val="1"/>
              </w:numPr>
              <w:ind w:left="340" w:hanging="170"/>
              <w:jc w:val="left"/>
            </w:pPr>
            <w:r>
              <w:rPr>
                <w:szCs w:val="20"/>
              </w:rPr>
              <w:t>Subst. im Abl. (mit Präp.)</w:t>
            </w:r>
          </w:p>
          <w:p>
            <w:pPr>
              <w:numPr>
                <w:ilvl w:val="0"/>
                <w:numId w:val="2"/>
              </w:numPr>
              <w:spacing w:before="60"/>
              <w:jc w:val="left"/>
            </w:pPr>
            <w:r>
              <w:t>geben die Paradigmen wieder:</w:t>
            </w:r>
          </w:p>
          <w:p>
            <w:pPr>
              <w:numPr>
                <w:ilvl w:val="0"/>
                <w:numId w:val="1"/>
              </w:numPr>
              <w:ind w:left="340" w:hanging="170"/>
              <w:jc w:val="left"/>
            </w:pPr>
            <w:r>
              <w:rPr>
                <w:i/>
                <w:szCs w:val="20"/>
              </w:rPr>
              <w:t>ire</w:t>
            </w:r>
            <w:r>
              <w:rPr>
                <w:szCs w:val="20"/>
              </w:rPr>
              <w:t xml:space="preserve"> im Ind. Präs. Akt. (+)</w:t>
            </w:r>
          </w:p>
          <w:p>
            <w:pPr>
              <w:numPr>
                <w:ilvl w:val="0"/>
                <w:numId w:val="2"/>
              </w:numPr>
              <w:spacing w:before="60"/>
              <w:jc w:val="left"/>
            </w:pPr>
            <w:r>
              <w:t>sortieren die gelernten Wörter nach grammatischen Gruppen (hier: Wortarten, Ü 3)</w:t>
            </w:r>
          </w:p>
          <w:p>
            <w:pPr>
              <w:numPr>
                <w:ilvl w:val="0"/>
                <w:numId w:val="2"/>
              </w:numPr>
              <w:spacing w:before="60"/>
              <w:jc w:val="left"/>
            </w:pPr>
            <w:r>
              <w:rPr>
                <w:szCs w:val="20"/>
              </w:rPr>
              <w:t>unterscheiden mehrdeutige Endungen</w:t>
            </w:r>
            <w:r>
              <w:t xml:space="preserve"> (Ü 6)</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Textkompetenz</w:t>
            </w:r>
          </w:p>
          <w:p>
            <w:pPr>
              <w:numPr>
                <w:ilvl w:val="0"/>
                <w:numId w:val="2"/>
              </w:numPr>
              <w:spacing w:before="60"/>
              <w:jc w:val="left"/>
            </w:pPr>
            <w:r>
              <w:rPr>
                <w:szCs w:val="20"/>
              </w:rPr>
              <w:t>lösen Strukturdifferenzen zielsprachlich angemessen auf (hier: bestimmter und unbestimmter Artikel)</w:t>
            </w:r>
          </w:p>
          <w:p>
            <w:pPr>
              <w:numPr>
                <w:ilvl w:val="0"/>
                <w:numId w:val="2"/>
              </w:numPr>
              <w:spacing w:before="60"/>
              <w:jc w:val="left"/>
            </w:pPr>
            <w:r>
              <w:t>benennen stilistische Gestaltungsmittel des Textes (hier: Anapher) und beschreiben ihre Wirkung (+)</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Kulturkompetenz</w:t>
            </w:r>
          </w:p>
          <w:p>
            <w:pPr>
              <w:numPr>
                <w:ilvl w:val="0"/>
                <w:numId w:val="2"/>
              </w:numPr>
              <w:spacing w:before="60"/>
              <w:jc w:val="left"/>
            </w:pPr>
            <w:r>
              <w:rPr>
                <w:szCs w:val="20"/>
              </w:rPr>
              <w:t>Thermen</w:t>
            </w:r>
          </w:p>
          <w:p>
            <w:pPr>
              <w:numPr>
                <w:ilvl w:val="0"/>
                <w:numId w:val="2"/>
              </w:numPr>
              <w:spacing w:before="60"/>
              <w:jc w:val="left"/>
              <w:rPr>
                <w:szCs w:val="20"/>
              </w:rPr>
            </w:pPr>
            <w:r>
              <w:rPr>
                <w:szCs w:val="20"/>
              </w:rPr>
              <w:t>römisches Alltagsleben:</w:t>
            </w:r>
          </w:p>
          <w:p>
            <w:pPr>
              <w:numPr>
                <w:ilvl w:val="0"/>
                <w:numId w:val="1"/>
              </w:numPr>
              <w:ind w:left="340" w:hanging="170"/>
              <w:jc w:val="left"/>
              <w:rPr>
                <w:szCs w:val="20"/>
              </w:rPr>
            </w:pPr>
            <w:r>
              <w:rPr>
                <w:szCs w:val="20"/>
              </w:rPr>
              <w:t xml:space="preserve">Kleidung (hier: </w:t>
            </w:r>
            <w:r>
              <w:rPr>
                <w:i/>
                <w:szCs w:val="20"/>
              </w:rPr>
              <w:t>toga</w:t>
            </w:r>
            <w:r>
              <w:rPr>
                <w:szCs w:val="20"/>
              </w:rPr>
              <w:t xml:space="preserve">, </w:t>
            </w:r>
            <w:r>
              <w:rPr>
                <w:i/>
                <w:szCs w:val="20"/>
              </w:rPr>
              <w:t>vestis</w:t>
            </w:r>
            <w:r>
              <w:rPr>
                <w:szCs w:val="20"/>
              </w:rPr>
              <w:t>)</w:t>
            </w:r>
          </w:p>
          <w:p>
            <w:pPr>
              <w:numPr>
                <w:ilvl w:val="0"/>
                <w:numId w:val="2"/>
              </w:numPr>
              <w:spacing w:before="60"/>
              <w:jc w:val="left"/>
              <w:rPr>
                <w:szCs w:val="20"/>
              </w:rPr>
            </w:pPr>
            <w:r>
              <w:t>nutzen das Lehrbuch als Informationsquelle (hier: Abbildungen)</w:t>
            </w:r>
          </w:p>
          <w:p>
            <w:pPr>
              <w:numPr>
                <w:ilvl w:val="0"/>
                <w:numId w:val="2"/>
              </w:numPr>
              <w:spacing w:before="60"/>
              <w:jc w:val="left"/>
            </w:pPr>
            <w:r>
              <w:rPr>
                <w:szCs w:val="20"/>
              </w:rPr>
              <w:t>vergleichen in ausgewählten Bereichen die römische Lebenswelt mit der eigenen Erfahrungswelt (hier: Thermen – Spaßbad)</w:t>
            </w:r>
          </w:p>
          <w:p>
            <w:pPr>
              <w:numPr>
                <w:ilvl w:val="0"/>
                <w:numId w:val="2"/>
              </w:numPr>
              <w:spacing w:before="60"/>
              <w:jc w:val="left"/>
              <w:rPr>
                <w:szCs w:val="20"/>
              </w:rPr>
            </w:pPr>
            <w:r>
              <w:rPr>
                <w:color w:val="008000"/>
                <w:szCs w:val="20"/>
              </w:rPr>
              <w:t>Fachbegriffe:</w:t>
            </w:r>
          </w:p>
          <w:p>
            <w:pPr>
              <w:numPr>
                <w:ilvl w:val="0"/>
                <w:numId w:val="1"/>
              </w:numPr>
              <w:ind w:left="340" w:hanging="170"/>
              <w:jc w:val="left"/>
            </w:pPr>
            <w:r>
              <w:rPr>
                <w:i/>
                <w:szCs w:val="20"/>
              </w:rPr>
              <w:t xml:space="preserve">balnea </w:t>
            </w:r>
            <w:r>
              <w:t>(+)</w:t>
            </w:r>
          </w:p>
          <w:p>
            <w:pPr>
              <w:numPr>
                <w:ilvl w:val="0"/>
                <w:numId w:val="1"/>
              </w:numPr>
              <w:ind w:left="340" w:hanging="170"/>
              <w:jc w:val="left"/>
            </w:pPr>
            <w:r>
              <w:t>Hypokaustum</w:t>
            </w:r>
            <w:r>
              <w:rPr>
                <w:i/>
                <w:szCs w:val="20"/>
              </w:rPr>
              <w:t xml:space="preserve"> </w:t>
            </w:r>
            <w:r>
              <w:t>(+)</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Anmerkungen/Sonstiges</w:t>
            </w:r>
          </w:p>
          <w:p>
            <w:pPr>
              <w:numPr>
                <w:ilvl w:val="0"/>
                <w:numId w:val="2"/>
              </w:numPr>
              <w:spacing w:before="60"/>
              <w:jc w:val="left"/>
            </w:pPr>
            <w:r>
              <w:rPr>
                <w:szCs w:val="20"/>
              </w:rPr>
              <w:t>Termini</w:t>
            </w:r>
            <w:r>
              <w:t xml:space="preserve"> </w:t>
            </w:r>
            <w:r>
              <w:rPr>
                <w:i/>
              </w:rPr>
              <w:t>Abl. loc.</w:t>
            </w:r>
            <w:r>
              <w:t xml:space="preserve">, </w:t>
            </w:r>
            <w:r>
              <w:rPr>
                <w:i/>
              </w:rPr>
              <w:t>Abl. sep.</w:t>
            </w:r>
            <w:r>
              <w:t xml:space="preserve">, </w:t>
            </w:r>
            <w:r>
              <w:rPr>
                <w:i/>
              </w:rPr>
              <w:t>Abl. instr.</w:t>
            </w:r>
            <w:r>
              <w:t xml:space="preserve"> und </w:t>
            </w:r>
            <w:r>
              <w:rPr>
                <w:i/>
              </w:rPr>
              <w:t>Abl. temp.</w:t>
            </w:r>
            <w:r>
              <w:t xml:space="preserve"> könnten ggf. im GBH nachgetra</w:t>
            </w:r>
            <w:r>
              <w:softHyphen/>
              <w:t xml:space="preserve">gen werden, der Vollständigkeit halber evtl. auch </w:t>
            </w:r>
            <w:r>
              <w:rPr>
                <w:i/>
              </w:rPr>
              <w:t xml:space="preserve">Abl. soc. </w:t>
            </w:r>
            <w:r>
              <w:rPr>
                <w:szCs w:val="20"/>
              </w:rPr>
              <w:t>(+)</w:t>
            </w:r>
          </w:p>
          <w:p>
            <w:pPr>
              <w:spacing w:before="60"/>
              <w:jc w:val="left"/>
              <w:rPr>
                <w:szCs w:val="20"/>
              </w:rPr>
            </w:pPr>
          </w:p>
          <w:p>
            <w:pPr>
              <w:spacing w:before="60"/>
              <w:jc w:val="left"/>
              <w:rPr>
                <w:szCs w:val="20"/>
              </w:rPr>
            </w:pPr>
          </w:p>
          <w:p>
            <w:pPr>
              <w:spacing w:before="60"/>
              <w:jc w:val="left"/>
              <w:rPr>
                <w:szCs w:val="20"/>
              </w:rPr>
            </w:pPr>
          </w:p>
          <w:p>
            <w:pPr>
              <w:spacing w:before="60"/>
              <w:jc w:val="left"/>
            </w:pPr>
          </w:p>
        </w:tc>
      </w:tr>
    </w:tbl>
    <w:p/>
    <w:p>
      <w:pPr>
        <w:spacing w:after="120" w:line="240"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tc>
          <w:tcPr>
            <w:tcW w:w="2098" w:type="dxa"/>
            <w:vMerge w:val="restart"/>
            <w:tcMar>
              <w:top w:w="57" w:type="dxa"/>
              <w:bottom w:w="57" w:type="dxa"/>
            </w:tcMar>
          </w:tcPr>
          <w:p>
            <w:pPr>
              <w:ind w:left="170" w:hanging="170"/>
              <w:jc w:val="left"/>
              <w:rPr>
                <w:b/>
                <w:color w:val="3333CC"/>
              </w:rPr>
            </w:pPr>
            <w:r>
              <w:rPr>
                <w:b/>
                <w:color w:val="3333CC"/>
              </w:rPr>
              <w:lastRenderedPageBreak/>
              <w:t>8</w:t>
            </w:r>
            <w:r>
              <w:rPr>
                <w:b/>
                <w:color w:val="3333CC"/>
              </w:rPr>
              <w:tab/>
              <w:t>Amphitheater</w:t>
            </w:r>
          </w:p>
          <w:p>
            <w:pPr>
              <w:numPr>
                <w:ilvl w:val="0"/>
                <w:numId w:val="2"/>
              </w:numPr>
              <w:spacing w:before="60"/>
              <w:jc w:val="left"/>
            </w:pPr>
            <w:r>
              <w:t>AcI als satzwertige Konstr.</w:t>
            </w:r>
          </w:p>
          <w:p>
            <w:pPr>
              <w:numPr>
                <w:ilvl w:val="0"/>
                <w:numId w:val="2"/>
              </w:numPr>
              <w:spacing w:before="60"/>
              <w:jc w:val="left"/>
            </w:pPr>
            <w:r>
              <w:rPr>
                <w:i/>
              </w:rPr>
              <w:t>hic, ille</w:t>
            </w:r>
          </w:p>
        </w:tc>
        <w:tc>
          <w:tcPr>
            <w:tcW w:w="6974" w:type="dxa"/>
            <w:tcMar>
              <w:top w:w="57" w:type="dxa"/>
              <w:bottom w:w="57" w:type="dxa"/>
            </w:tcMar>
          </w:tcPr>
          <w:p>
            <w:pPr>
              <w:jc w:val="left"/>
              <w:rPr>
                <w:b/>
                <w:color w:val="FF0066"/>
              </w:rPr>
            </w:pPr>
            <w:r>
              <w:rPr>
                <w:b/>
                <w:color w:val="CC0066"/>
              </w:rPr>
              <w:t>Sprachkompetenz</w:t>
            </w:r>
          </w:p>
          <w:p>
            <w:pPr>
              <w:numPr>
                <w:ilvl w:val="0"/>
                <w:numId w:val="2"/>
              </w:numPr>
              <w:spacing w:before="60"/>
              <w:jc w:val="left"/>
            </w:pPr>
            <w:r>
              <w:t xml:space="preserve">30 neue </w:t>
            </w:r>
            <w:r>
              <w:rPr>
                <w:szCs w:val="20"/>
              </w:rPr>
              <w:t>Vok</w:t>
            </w:r>
            <w:r>
              <w:t>. (insges. 267)</w:t>
            </w:r>
          </w:p>
          <w:p>
            <w:pPr>
              <w:numPr>
                <w:ilvl w:val="0"/>
                <w:numId w:val="2"/>
              </w:numPr>
              <w:spacing w:before="60"/>
              <w:jc w:val="left"/>
            </w:pPr>
            <w:r>
              <w:rPr>
                <w:szCs w:val="20"/>
              </w:rPr>
              <w:t>differenzieren kontextbezogen Bedeutungen einiger polysemer Wörter (z.</w:t>
            </w:r>
            <w:r>
              <w:rPr>
                <w:sz w:val="14"/>
                <w:szCs w:val="20"/>
              </w:rPr>
              <w:t> </w:t>
            </w:r>
            <w:r>
              <w:rPr>
                <w:szCs w:val="20"/>
              </w:rPr>
              <w:t xml:space="preserve">B. </w:t>
            </w:r>
            <w:r>
              <w:rPr>
                <w:i/>
                <w:szCs w:val="20"/>
              </w:rPr>
              <w:t xml:space="preserve">basilicam petere </w:t>
            </w:r>
            <w:r>
              <w:t>–</w:t>
            </w:r>
            <w:r>
              <w:rPr>
                <w:i/>
                <w:szCs w:val="20"/>
              </w:rPr>
              <w:t xml:space="preserve"> auxilium petere</w:t>
            </w:r>
            <w:r>
              <w:rPr>
                <w:szCs w:val="20"/>
              </w:rPr>
              <w:t>)</w:t>
            </w:r>
          </w:p>
          <w:p>
            <w:pPr>
              <w:numPr>
                <w:ilvl w:val="0"/>
                <w:numId w:val="2"/>
              </w:numPr>
              <w:spacing w:before="60"/>
              <w:jc w:val="left"/>
            </w:pPr>
            <w:r>
              <w:rPr>
                <w:szCs w:val="20"/>
              </w:rPr>
              <w:t>identifizieren die satzwertige Konstruktion AcI, benennen den Auslöser und die notwendigen Bestandteile und übersetzen die Konstruktion adäquat</w:t>
            </w:r>
          </w:p>
          <w:p>
            <w:pPr>
              <w:numPr>
                <w:ilvl w:val="0"/>
                <w:numId w:val="2"/>
              </w:numPr>
              <w:spacing w:before="60"/>
              <w:jc w:val="left"/>
            </w:pPr>
            <w:r>
              <w:t>identifizieren und benennen als Füllungsmöglichkeiten des Satzglieds Objekt:</w:t>
            </w:r>
          </w:p>
          <w:p>
            <w:pPr>
              <w:numPr>
                <w:ilvl w:val="0"/>
                <w:numId w:val="1"/>
              </w:numPr>
              <w:ind w:left="340" w:hanging="170"/>
              <w:jc w:val="left"/>
            </w:pPr>
            <w:r>
              <w:rPr>
                <w:szCs w:val="20"/>
              </w:rPr>
              <w:t>AcI</w:t>
            </w:r>
          </w:p>
          <w:p>
            <w:pPr>
              <w:numPr>
                <w:ilvl w:val="0"/>
                <w:numId w:val="2"/>
              </w:numPr>
              <w:spacing w:before="60"/>
              <w:jc w:val="left"/>
              <w:rPr>
                <w:szCs w:val="20"/>
              </w:rPr>
            </w:pPr>
            <w:r>
              <w:rPr>
                <w:szCs w:val="20"/>
              </w:rPr>
              <w:t>vergleichen das Phänomen AcI im Lateinischen und im Deutschen und benennen die Grenzen der wörtlichen Übertragung</w:t>
            </w:r>
          </w:p>
          <w:p>
            <w:pPr>
              <w:numPr>
                <w:ilvl w:val="0"/>
                <w:numId w:val="2"/>
              </w:numPr>
              <w:spacing w:before="60"/>
              <w:jc w:val="left"/>
            </w:pPr>
            <w:r>
              <w:rPr>
                <w:szCs w:val="20"/>
              </w:rPr>
              <w:t>unterscheiden Pronomina</w:t>
            </w:r>
            <w:r>
              <w:t xml:space="preserve"> (hier: </w:t>
            </w:r>
            <w:r>
              <w:rPr>
                <w:i/>
              </w:rPr>
              <w:t>hic</w:t>
            </w:r>
            <w:r>
              <w:t xml:space="preserve"> und </w:t>
            </w:r>
            <w:r>
              <w:rPr>
                <w:i/>
              </w:rPr>
              <w:t>ille</w:t>
            </w:r>
            <w:r>
              <w:t>, Ü 4) (+)</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Textkompetenz</w:t>
            </w:r>
          </w:p>
          <w:p>
            <w:pPr>
              <w:numPr>
                <w:ilvl w:val="0"/>
                <w:numId w:val="2"/>
              </w:numPr>
              <w:spacing w:before="60"/>
              <w:jc w:val="left"/>
            </w:pPr>
            <w:r>
              <w:rPr>
                <w:szCs w:val="20"/>
              </w:rPr>
              <w:t xml:space="preserve">wählen kontextbezogen die passende Bedeutung häufig anzutreffender polysemer Wörter aus (hier: </w:t>
            </w:r>
            <w:r>
              <w:rPr>
                <w:i/>
                <w:szCs w:val="20"/>
              </w:rPr>
              <w:t>petere</w:t>
            </w:r>
            <w:r>
              <w:t>, Ü 9</w:t>
            </w:r>
            <w:r>
              <w:rPr>
                <w:szCs w:val="20"/>
              </w:rPr>
              <w:t>)</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Kulturkompetenz</w:t>
            </w:r>
          </w:p>
          <w:p>
            <w:pPr>
              <w:numPr>
                <w:ilvl w:val="0"/>
                <w:numId w:val="2"/>
              </w:numPr>
              <w:spacing w:before="60"/>
              <w:jc w:val="left"/>
            </w:pPr>
            <w:r>
              <w:rPr>
                <w:szCs w:val="20"/>
              </w:rPr>
              <w:t>Amphitheater</w:t>
            </w:r>
          </w:p>
          <w:p>
            <w:pPr>
              <w:numPr>
                <w:ilvl w:val="0"/>
                <w:numId w:val="2"/>
              </w:numPr>
              <w:spacing w:before="60"/>
              <w:jc w:val="left"/>
              <w:rPr>
                <w:szCs w:val="20"/>
              </w:rPr>
            </w:pPr>
            <w:r>
              <w:rPr>
                <w:szCs w:val="20"/>
              </w:rPr>
              <w:t>Kolosseum (Amphitheatrum Flavium)</w:t>
            </w:r>
          </w:p>
          <w:p>
            <w:pPr>
              <w:numPr>
                <w:ilvl w:val="0"/>
                <w:numId w:val="2"/>
              </w:numPr>
              <w:spacing w:before="60"/>
              <w:jc w:val="left"/>
              <w:rPr>
                <w:szCs w:val="20"/>
              </w:rPr>
            </w:pPr>
            <w:r>
              <w:rPr>
                <w:szCs w:val="20"/>
              </w:rPr>
              <w:t>vergleichen in ausgewählten Bereichen die römische Lebenswelt mit der eigenen Erfahrungswelt (hier: Amphitheater – Sportarenen)</w:t>
            </w:r>
          </w:p>
          <w:p>
            <w:pPr>
              <w:numPr>
                <w:ilvl w:val="0"/>
                <w:numId w:val="2"/>
              </w:numPr>
              <w:spacing w:before="60"/>
              <w:jc w:val="left"/>
              <w:rPr>
                <w:szCs w:val="20"/>
              </w:rPr>
            </w:pPr>
            <w:r>
              <w:rPr>
                <w:szCs w:val="20"/>
              </w:rPr>
              <w:br w:type="page"/>
              <w:t>stellen die Andersartigkeit der römischen Kultur heraus und benennen die Unterschiede zur eigenen Kultur</w:t>
            </w:r>
            <w:r>
              <w:t xml:space="preserve"> (hier: Gladiatorenspiele)</w:t>
            </w:r>
          </w:p>
          <w:p>
            <w:pPr>
              <w:numPr>
                <w:ilvl w:val="0"/>
                <w:numId w:val="2"/>
              </w:numPr>
              <w:spacing w:before="60"/>
              <w:jc w:val="left"/>
              <w:rPr>
                <w:szCs w:val="20"/>
              </w:rPr>
            </w:pPr>
            <w:r>
              <w:rPr>
                <w:szCs w:val="20"/>
              </w:rPr>
              <w:t>römisches Alltagsleben:</w:t>
            </w:r>
          </w:p>
          <w:p>
            <w:pPr>
              <w:numPr>
                <w:ilvl w:val="0"/>
                <w:numId w:val="1"/>
              </w:numPr>
              <w:ind w:left="340" w:hanging="170"/>
              <w:jc w:val="left"/>
              <w:rPr>
                <w:szCs w:val="20"/>
              </w:rPr>
            </w:pPr>
            <w:r>
              <w:rPr>
                <w:szCs w:val="20"/>
              </w:rPr>
              <w:t>Tagesablauf (S.</w:t>
            </w:r>
            <w:r>
              <w:rPr>
                <w:sz w:val="14"/>
                <w:szCs w:val="20"/>
              </w:rPr>
              <w:t> </w:t>
            </w:r>
            <w:r>
              <w:rPr>
                <w:szCs w:val="20"/>
              </w:rPr>
              <w:t>63: eines Gladiators)</w:t>
            </w:r>
          </w:p>
          <w:p>
            <w:pPr>
              <w:numPr>
                <w:ilvl w:val="0"/>
                <w:numId w:val="2"/>
              </w:numPr>
              <w:spacing w:before="60"/>
              <w:jc w:val="left"/>
            </w:pPr>
            <w:r>
              <w:rPr>
                <w:color w:val="008000"/>
                <w:szCs w:val="20"/>
              </w:rPr>
              <w:t>Fachbegriffe:</w:t>
            </w:r>
          </w:p>
          <w:p>
            <w:pPr>
              <w:numPr>
                <w:ilvl w:val="0"/>
                <w:numId w:val="1"/>
              </w:numPr>
              <w:ind w:left="340" w:hanging="170"/>
              <w:jc w:val="left"/>
            </w:pPr>
            <w:r>
              <w:t>Kolosseum / Amphitheatrum Flavium (+)</w:t>
            </w:r>
          </w:p>
          <w:p>
            <w:pPr>
              <w:numPr>
                <w:ilvl w:val="0"/>
                <w:numId w:val="1"/>
              </w:numPr>
              <w:ind w:left="340" w:hanging="170"/>
              <w:jc w:val="left"/>
              <w:rPr>
                <w:szCs w:val="20"/>
              </w:rPr>
            </w:pPr>
            <w:r>
              <w:rPr>
                <w:i/>
                <w:szCs w:val="20"/>
              </w:rPr>
              <w:t xml:space="preserve">ludi </w:t>
            </w:r>
            <w:r>
              <w:t>(+)</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CC0066"/>
              </w:rPr>
            </w:pPr>
            <w:r>
              <w:rPr>
                <w:b/>
                <w:color w:val="CC0066"/>
              </w:rPr>
              <w:t>Anmerkungen/Sonstiges</w:t>
            </w:r>
          </w:p>
          <w:p>
            <w:pPr>
              <w:spacing w:before="60"/>
              <w:jc w:val="left"/>
            </w:pPr>
          </w:p>
          <w:p>
            <w:pPr>
              <w:spacing w:before="60"/>
              <w:jc w:val="left"/>
            </w:pPr>
          </w:p>
          <w:p>
            <w:pPr>
              <w:spacing w:before="60"/>
              <w:jc w:val="left"/>
            </w:pPr>
          </w:p>
          <w:p>
            <w:pPr>
              <w:spacing w:before="60"/>
              <w:jc w:val="left"/>
            </w:pPr>
          </w:p>
        </w:tc>
      </w:tr>
    </w:tbl>
    <w:p/>
    <w:p>
      <w:pPr>
        <w:spacing w:after="120" w:line="240"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tc>
          <w:tcPr>
            <w:tcW w:w="2098" w:type="dxa"/>
            <w:vMerge w:val="restart"/>
            <w:tcMar>
              <w:top w:w="57" w:type="dxa"/>
              <w:bottom w:w="57" w:type="dxa"/>
            </w:tcMar>
          </w:tcPr>
          <w:p>
            <w:pPr>
              <w:ind w:left="170" w:hanging="170"/>
              <w:jc w:val="left"/>
              <w:rPr>
                <w:b/>
                <w:color w:val="3333CC"/>
              </w:rPr>
            </w:pPr>
            <w:r>
              <w:rPr>
                <w:b/>
                <w:color w:val="3333CC"/>
              </w:rPr>
              <w:lastRenderedPageBreak/>
              <w:t>9</w:t>
            </w:r>
            <w:r>
              <w:rPr>
                <w:b/>
                <w:color w:val="3333CC"/>
              </w:rPr>
              <w:tab/>
              <w:t>Der Theaterbesuch</w:t>
            </w:r>
          </w:p>
          <w:p>
            <w:pPr>
              <w:numPr>
                <w:ilvl w:val="0"/>
                <w:numId w:val="2"/>
              </w:numPr>
              <w:spacing w:before="60"/>
              <w:jc w:val="left"/>
            </w:pPr>
            <w:r>
              <w:t>Dativobjekt</w:t>
            </w:r>
          </w:p>
          <w:p>
            <w:pPr>
              <w:numPr>
                <w:ilvl w:val="0"/>
                <w:numId w:val="2"/>
              </w:numPr>
              <w:spacing w:before="60"/>
              <w:jc w:val="left"/>
            </w:pPr>
            <w:r>
              <w:t>Adv. zu den Adj. der o-/a-Dekl.</w:t>
            </w:r>
          </w:p>
        </w:tc>
        <w:tc>
          <w:tcPr>
            <w:tcW w:w="6974" w:type="dxa"/>
            <w:tcMar>
              <w:top w:w="57" w:type="dxa"/>
              <w:bottom w:w="57" w:type="dxa"/>
            </w:tcMar>
          </w:tcPr>
          <w:p>
            <w:pPr>
              <w:jc w:val="left"/>
              <w:rPr>
                <w:b/>
                <w:color w:val="FF0066"/>
              </w:rPr>
            </w:pPr>
            <w:r>
              <w:rPr>
                <w:b/>
                <w:color w:val="CC0066"/>
              </w:rPr>
              <w:t>Sprachkompetenz</w:t>
            </w:r>
          </w:p>
          <w:p>
            <w:pPr>
              <w:numPr>
                <w:ilvl w:val="0"/>
                <w:numId w:val="2"/>
              </w:numPr>
              <w:spacing w:before="60"/>
              <w:jc w:val="left"/>
            </w:pPr>
            <w:r>
              <w:t xml:space="preserve">27 </w:t>
            </w:r>
            <w:r>
              <w:rPr>
                <w:szCs w:val="20"/>
              </w:rPr>
              <w:t>neue</w:t>
            </w:r>
            <w:r>
              <w:t xml:space="preserve"> Vok. (insges. 294)</w:t>
            </w:r>
          </w:p>
          <w:p>
            <w:pPr>
              <w:numPr>
                <w:ilvl w:val="0"/>
                <w:numId w:val="2"/>
              </w:numPr>
              <w:spacing w:before="60"/>
              <w:jc w:val="left"/>
            </w:pPr>
            <w:r>
              <w:t>geben die Paradigmen wieder:</w:t>
            </w:r>
          </w:p>
          <w:p>
            <w:pPr>
              <w:numPr>
                <w:ilvl w:val="0"/>
                <w:numId w:val="1"/>
              </w:numPr>
              <w:ind w:left="340" w:hanging="170"/>
              <w:jc w:val="left"/>
            </w:pPr>
            <w:r>
              <w:t>der Subst. der 1.– 3. Dekl.</w:t>
            </w:r>
          </w:p>
          <w:p>
            <w:pPr>
              <w:numPr>
                <w:ilvl w:val="0"/>
                <w:numId w:val="1"/>
              </w:numPr>
              <w:ind w:left="340" w:hanging="170"/>
              <w:jc w:val="left"/>
            </w:pPr>
            <w:r>
              <w:t>der Adj. der 1./2. Dekl.</w:t>
            </w:r>
          </w:p>
          <w:p>
            <w:pPr>
              <w:numPr>
                <w:ilvl w:val="0"/>
                <w:numId w:val="1"/>
              </w:numPr>
              <w:ind w:left="340" w:hanging="170"/>
              <w:jc w:val="left"/>
            </w:pPr>
            <w:r>
              <w:rPr>
                <w:szCs w:val="20"/>
              </w:rPr>
              <w:t xml:space="preserve">der Demonstrativpronomina </w:t>
            </w:r>
            <w:r>
              <w:rPr>
                <w:i/>
                <w:szCs w:val="20"/>
              </w:rPr>
              <w:t>hic</w:t>
            </w:r>
            <w:r>
              <w:t xml:space="preserve"> und </w:t>
            </w:r>
            <w:r>
              <w:rPr>
                <w:i/>
                <w:szCs w:val="20"/>
              </w:rPr>
              <w:t>ille</w:t>
            </w:r>
            <w:r>
              <w:t xml:space="preserve"> </w:t>
            </w:r>
            <w:r>
              <w:rPr>
                <w:szCs w:val="20"/>
              </w:rPr>
              <w:t>(+)</w:t>
            </w:r>
          </w:p>
          <w:p>
            <w:pPr>
              <w:numPr>
                <w:ilvl w:val="0"/>
                <w:numId w:val="1"/>
              </w:numPr>
              <w:ind w:left="340" w:hanging="170"/>
              <w:jc w:val="left"/>
            </w:pPr>
            <w:r>
              <w:t>der Personalpronomina (ohne Gen.) (+)</w:t>
            </w:r>
          </w:p>
          <w:p>
            <w:pPr>
              <w:numPr>
                <w:ilvl w:val="0"/>
                <w:numId w:val="2"/>
              </w:numPr>
              <w:spacing w:before="60"/>
              <w:jc w:val="left"/>
            </w:pPr>
            <w:r>
              <w:t>identifizieren und benennen als Füllungsmöglichkeiten des Satzglieds Objekt:</w:t>
            </w:r>
          </w:p>
          <w:p>
            <w:pPr>
              <w:numPr>
                <w:ilvl w:val="0"/>
                <w:numId w:val="1"/>
              </w:numPr>
              <w:ind w:left="340" w:hanging="170"/>
              <w:jc w:val="left"/>
            </w:pPr>
            <w:r>
              <w:rPr>
                <w:szCs w:val="20"/>
              </w:rPr>
              <w:t>Dativobjekt (Subst.)</w:t>
            </w:r>
          </w:p>
          <w:p>
            <w:pPr>
              <w:numPr>
                <w:ilvl w:val="0"/>
                <w:numId w:val="2"/>
              </w:numPr>
              <w:spacing w:before="60"/>
              <w:jc w:val="left"/>
            </w:pPr>
            <w:r>
              <w:t>identifizieren und benennen als Füllungsmöglichkeiten des Satzglieds AB:</w:t>
            </w:r>
          </w:p>
          <w:p>
            <w:pPr>
              <w:numPr>
                <w:ilvl w:val="0"/>
                <w:numId w:val="1"/>
              </w:numPr>
              <w:ind w:left="340" w:hanging="170"/>
              <w:jc w:val="left"/>
            </w:pPr>
            <w:r>
              <w:rPr>
                <w:szCs w:val="20"/>
              </w:rPr>
              <w:t>Adv. zum Adj. (+)</w:t>
            </w:r>
          </w:p>
          <w:p>
            <w:pPr>
              <w:numPr>
                <w:ilvl w:val="0"/>
                <w:numId w:val="2"/>
              </w:numPr>
              <w:spacing w:before="60"/>
              <w:jc w:val="left"/>
            </w:pPr>
            <w:r>
              <w:t>sortieren die gelernten Wörter nach grammatischen Gruppen (hier: Wortarten, Ü 5)</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Textkompetenz</w:t>
            </w:r>
          </w:p>
          <w:p>
            <w:pPr>
              <w:numPr>
                <w:ilvl w:val="0"/>
                <w:numId w:val="2"/>
              </w:numPr>
              <w:spacing w:before="60"/>
              <w:jc w:val="left"/>
            </w:pPr>
            <w:r>
              <w:t xml:space="preserve">gehen bei </w:t>
            </w:r>
            <w:r>
              <w:rPr>
                <w:szCs w:val="20"/>
              </w:rPr>
              <w:t>der</w:t>
            </w:r>
            <w:r>
              <w:t xml:space="preserve"> Übersetzung systematisch vor (hier: Pendelmethode)</w:t>
            </w:r>
          </w:p>
          <w:p>
            <w:pPr>
              <w:numPr>
                <w:ilvl w:val="0"/>
                <w:numId w:val="2"/>
              </w:numPr>
              <w:spacing w:before="60"/>
              <w:jc w:val="left"/>
            </w:pPr>
            <w:r>
              <w:t>benennen textsortenspezifische Merkmale (hier: Dialog)</w:t>
            </w:r>
          </w:p>
          <w:p>
            <w:pPr>
              <w:numPr>
                <w:ilvl w:val="0"/>
                <w:numId w:val="2"/>
              </w:numPr>
              <w:spacing w:before="60"/>
              <w:jc w:val="left"/>
            </w:pPr>
            <w:r>
              <w:t>setzen den Inhalt des übersetzten Textes gestaltend um (hier: szenische Darstellung)</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Kulturkompetenz</w:t>
            </w:r>
          </w:p>
          <w:p>
            <w:pPr>
              <w:numPr>
                <w:ilvl w:val="0"/>
                <w:numId w:val="2"/>
              </w:numPr>
              <w:spacing w:before="60"/>
              <w:jc w:val="left"/>
            </w:pPr>
            <w:r>
              <w:t>Theater in Rom</w:t>
            </w:r>
          </w:p>
          <w:p>
            <w:pPr>
              <w:numPr>
                <w:ilvl w:val="0"/>
                <w:numId w:val="2"/>
              </w:numPr>
              <w:spacing w:before="60"/>
              <w:jc w:val="left"/>
              <w:rPr>
                <w:szCs w:val="20"/>
              </w:rPr>
            </w:pPr>
            <w:r>
              <w:rPr>
                <w:szCs w:val="20"/>
              </w:rPr>
              <w:t>römisches Alltagsleben:</w:t>
            </w:r>
          </w:p>
          <w:p>
            <w:pPr>
              <w:numPr>
                <w:ilvl w:val="0"/>
                <w:numId w:val="1"/>
              </w:numPr>
              <w:ind w:left="340" w:hanging="170"/>
              <w:jc w:val="left"/>
              <w:rPr>
                <w:szCs w:val="20"/>
              </w:rPr>
            </w:pPr>
            <w:r>
              <w:rPr>
                <w:szCs w:val="20"/>
              </w:rPr>
              <w:t>Stellung der Sklaven</w:t>
            </w:r>
          </w:p>
          <w:p>
            <w:pPr>
              <w:numPr>
                <w:ilvl w:val="0"/>
                <w:numId w:val="2"/>
              </w:numPr>
              <w:spacing w:before="60"/>
              <w:jc w:val="left"/>
            </w:pPr>
            <w:r>
              <w:rPr>
                <w:szCs w:val="20"/>
              </w:rPr>
              <w:t>beschreiben Lebenswirklichkeiten in der römischen Welt aus einer vorgegebenen Perspektive (z.</w:t>
            </w:r>
            <w:r>
              <w:rPr>
                <w:sz w:val="14"/>
                <w:szCs w:val="20"/>
              </w:rPr>
              <w:t> </w:t>
            </w:r>
            <w:r>
              <w:rPr>
                <w:szCs w:val="20"/>
              </w:rPr>
              <w:t>B. Sklave, Herr)</w:t>
            </w:r>
          </w:p>
          <w:p>
            <w:pPr>
              <w:numPr>
                <w:ilvl w:val="0"/>
                <w:numId w:val="2"/>
              </w:numPr>
              <w:spacing w:before="60"/>
              <w:jc w:val="left"/>
            </w:pPr>
            <w:r>
              <w:t>benennen ihren Eindruck bei der Rezeption römischer Kunst und Architektur (hier: Marcellus-Theater, S.</w:t>
            </w:r>
            <w:r>
              <w:rPr>
                <w:sz w:val="14"/>
              </w:rPr>
              <w:t xml:space="preserve"> </w:t>
            </w:r>
            <w:r>
              <w:t>68)</w:t>
            </w:r>
          </w:p>
          <w:p>
            <w:pPr>
              <w:numPr>
                <w:ilvl w:val="0"/>
                <w:numId w:val="2"/>
              </w:numPr>
              <w:spacing w:before="60"/>
              <w:jc w:val="left"/>
            </w:pPr>
            <w:r>
              <w:t>unterscheiden griechische Kunst und Architektur (hier: Theater) grundsätzlich von römischer (+)</w:t>
            </w:r>
          </w:p>
          <w:p>
            <w:pPr>
              <w:numPr>
                <w:ilvl w:val="0"/>
                <w:numId w:val="2"/>
              </w:numPr>
              <w:spacing w:before="60"/>
              <w:jc w:val="left"/>
              <w:rPr>
                <w:szCs w:val="20"/>
              </w:rPr>
            </w:pPr>
            <w:r>
              <w:rPr>
                <w:color w:val="008000"/>
                <w:szCs w:val="20"/>
              </w:rPr>
              <w:t>Fachbegriffe und Namen:</w:t>
            </w:r>
          </w:p>
          <w:p>
            <w:pPr>
              <w:numPr>
                <w:ilvl w:val="0"/>
                <w:numId w:val="1"/>
              </w:numPr>
              <w:ind w:left="340" w:hanging="170"/>
              <w:jc w:val="left"/>
            </w:pPr>
            <w:r>
              <w:t>Plautus</w:t>
            </w:r>
            <w:r>
              <w:rPr>
                <w:i/>
                <w:szCs w:val="20"/>
              </w:rPr>
              <w:t xml:space="preserve"> </w:t>
            </w:r>
            <w:r>
              <w:t>(+)</w:t>
            </w:r>
          </w:p>
          <w:p>
            <w:pPr>
              <w:numPr>
                <w:ilvl w:val="0"/>
                <w:numId w:val="1"/>
              </w:numPr>
              <w:ind w:left="340" w:hanging="170"/>
              <w:jc w:val="left"/>
            </w:pPr>
            <w:r>
              <w:t>Komödie</w:t>
            </w:r>
            <w:r>
              <w:rPr>
                <w:i/>
                <w:szCs w:val="20"/>
              </w:rPr>
              <w:t xml:space="preserve"> </w:t>
            </w:r>
            <w:r>
              <w:t>(+)</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CC0066"/>
              </w:rPr>
            </w:pPr>
            <w:r>
              <w:rPr>
                <w:b/>
                <w:color w:val="CC0066"/>
              </w:rPr>
              <w:t>Anmerkungen/Sonstiges</w:t>
            </w:r>
          </w:p>
          <w:p>
            <w:pPr>
              <w:spacing w:before="60"/>
              <w:jc w:val="left"/>
            </w:pPr>
          </w:p>
          <w:p>
            <w:pPr>
              <w:spacing w:before="60"/>
              <w:jc w:val="left"/>
            </w:pPr>
          </w:p>
          <w:p>
            <w:pPr>
              <w:spacing w:before="60"/>
              <w:jc w:val="left"/>
            </w:pPr>
          </w:p>
          <w:p>
            <w:pPr>
              <w:spacing w:before="60"/>
              <w:jc w:val="left"/>
            </w:pPr>
          </w:p>
        </w:tc>
      </w:tr>
    </w:tbl>
    <w:p/>
    <w:p>
      <w:pPr>
        <w:spacing w:after="120" w:line="240"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tc>
          <w:tcPr>
            <w:tcW w:w="2098" w:type="dxa"/>
            <w:vMerge w:val="restart"/>
            <w:tcMar>
              <w:top w:w="57" w:type="dxa"/>
              <w:bottom w:w="57" w:type="dxa"/>
            </w:tcMar>
          </w:tcPr>
          <w:p>
            <w:pPr>
              <w:ind w:left="272" w:hanging="272"/>
              <w:jc w:val="left"/>
              <w:rPr>
                <w:b/>
                <w:color w:val="3333CC"/>
              </w:rPr>
            </w:pPr>
            <w:r>
              <w:rPr>
                <w:b/>
                <w:color w:val="3333CC"/>
              </w:rPr>
              <w:lastRenderedPageBreak/>
              <w:t>10</w:t>
            </w:r>
            <w:r>
              <w:rPr>
                <w:b/>
                <w:color w:val="3333CC"/>
              </w:rPr>
              <w:tab/>
              <w:t>Das Kapitol</w:t>
            </w:r>
          </w:p>
          <w:p>
            <w:pPr>
              <w:numPr>
                <w:ilvl w:val="0"/>
                <w:numId w:val="2"/>
              </w:numPr>
              <w:spacing w:before="60"/>
              <w:jc w:val="left"/>
            </w:pPr>
            <w:r>
              <w:t>Ind. Perf. Akt. (v-, u-, s-, Stamm, Dehnung)</w:t>
            </w:r>
          </w:p>
          <w:p>
            <w:pPr>
              <w:numPr>
                <w:ilvl w:val="0"/>
                <w:numId w:val="2"/>
              </w:numPr>
              <w:spacing w:before="60"/>
              <w:jc w:val="left"/>
            </w:pPr>
            <w:r>
              <w:t>Inf. Perf. Akt.</w:t>
            </w:r>
          </w:p>
          <w:p>
            <w:pPr>
              <w:numPr>
                <w:ilvl w:val="0"/>
                <w:numId w:val="2"/>
              </w:numPr>
              <w:spacing w:before="60"/>
              <w:jc w:val="left"/>
            </w:pPr>
            <w:r>
              <w:t>Vorzeitigkeit im AcI</w:t>
            </w:r>
          </w:p>
          <w:p>
            <w:pPr>
              <w:numPr>
                <w:ilvl w:val="0"/>
                <w:numId w:val="2"/>
              </w:numPr>
              <w:spacing w:before="60"/>
              <w:jc w:val="left"/>
            </w:pPr>
            <w:r>
              <w:t>adv. Nebensätze</w:t>
            </w:r>
          </w:p>
        </w:tc>
        <w:tc>
          <w:tcPr>
            <w:tcW w:w="6974" w:type="dxa"/>
            <w:tcMar>
              <w:top w:w="57" w:type="dxa"/>
              <w:bottom w:w="57" w:type="dxa"/>
            </w:tcMar>
          </w:tcPr>
          <w:p>
            <w:pPr>
              <w:jc w:val="left"/>
              <w:rPr>
                <w:b/>
                <w:color w:val="FF0066"/>
              </w:rPr>
            </w:pPr>
            <w:r>
              <w:rPr>
                <w:b/>
                <w:color w:val="CC0066"/>
              </w:rPr>
              <w:t>Sprachkompetenz</w:t>
            </w:r>
          </w:p>
          <w:p>
            <w:pPr>
              <w:numPr>
                <w:ilvl w:val="0"/>
                <w:numId w:val="2"/>
              </w:numPr>
              <w:spacing w:before="60"/>
              <w:jc w:val="left"/>
            </w:pPr>
            <w:r>
              <w:t xml:space="preserve">31 neue </w:t>
            </w:r>
            <w:r>
              <w:rPr>
                <w:szCs w:val="20"/>
              </w:rPr>
              <w:t>Vok</w:t>
            </w:r>
            <w:r>
              <w:t>. (insges. 325)</w:t>
            </w:r>
          </w:p>
          <w:p>
            <w:pPr>
              <w:numPr>
                <w:ilvl w:val="0"/>
                <w:numId w:val="2"/>
              </w:numPr>
              <w:spacing w:before="60"/>
              <w:jc w:val="left"/>
            </w:pPr>
            <w:r>
              <w:t xml:space="preserve">erkennen bei der 3. Dekl. auch Abweichungen vom Normalschema und ordnen diese an der richtigen Stelle in das Schema ein, </w:t>
            </w:r>
            <w:r>
              <w:rPr>
                <w:szCs w:val="20"/>
              </w:rPr>
              <w:t>z.</w:t>
            </w:r>
            <w:r>
              <w:rPr>
                <w:sz w:val="14"/>
                <w:szCs w:val="20"/>
              </w:rPr>
              <w:t> </w:t>
            </w:r>
            <w:r>
              <w:rPr>
                <w:szCs w:val="20"/>
              </w:rPr>
              <w:t>B.</w:t>
            </w:r>
            <w:r>
              <w:t xml:space="preserve"> </w:t>
            </w:r>
            <w:r>
              <w:rPr>
                <w:i/>
              </w:rPr>
              <w:t>-ium</w:t>
            </w:r>
            <w:r>
              <w:t xml:space="preserve"> als Gen.Pl.</w:t>
            </w:r>
          </w:p>
          <w:p>
            <w:pPr>
              <w:numPr>
                <w:ilvl w:val="0"/>
                <w:numId w:val="2"/>
              </w:numPr>
              <w:spacing w:before="60"/>
              <w:jc w:val="left"/>
            </w:pPr>
            <w:r>
              <w:t>geben die Paradigmen wieder:</w:t>
            </w:r>
          </w:p>
          <w:p>
            <w:pPr>
              <w:numPr>
                <w:ilvl w:val="0"/>
                <w:numId w:val="1"/>
              </w:numPr>
              <w:ind w:left="340" w:hanging="170"/>
              <w:jc w:val="left"/>
            </w:pPr>
            <w:r>
              <w:rPr>
                <w:szCs w:val="20"/>
              </w:rPr>
              <w:t>der Verben der a-, e-, i- und kons. Konj. (inkl. kurzvok. i-Konj.) im Ind. Präs. und Perf. Akt.</w:t>
            </w:r>
          </w:p>
          <w:p>
            <w:pPr>
              <w:numPr>
                <w:ilvl w:val="0"/>
                <w:numId w:val="2"/>
              </w:numPr>
              <w:spacing w:before="60"/>
              <w:jc w:val="left"/>
            </w:pPr>
            <w:r>
              <w:rPr>
                <w:szCs w:val="20"/>
              </w:rPr>
              <w:t>vergleichen das narrative Perfekt des Lateinischen mit dem deutschen Erzähltempus Präteritum und übersetzen mit Präteritum</w:t>
            </w:r>
          </w:p>
          <w:p>
            <w:pPr>
              <w:numPr>
                <w:ilvl w:val="0"/>
                <w:numId w:val="2"/>
              </w:numPr>
              <w:spacing w:before="60"/>
              <w:jc w:val="left"/>
            </w:pPr>
            <w:r>
              <w:rPr>
                <w:szCs w:val="20"/>
              </w:rPr>
              <w:t>unterscheiden bei den Infinitiven die Zeitverhältnisse (hier: Gleich- und Vorzeitigkeit) (+)</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Textkompetenz</w:t>
            </w:r>
          </w:p>
          <w:p>
            <w:pPr>
              <w:numPr>
                <w:ilvl w:val="0"/>
                <w:numId w:val="2"/>
              </w:numPr>
              <w:spacing w:before="60"/>
              <w:jc w:val="left"/>
            </w:pPr>
            <w:r>
              <w:rPr>
                <w:szCs w:val="20"/>
              </w:rPr>
              <w:t xml:space="preserve">lösen Strukturdifferenzen zielsprachlich angemessen auf (hier: narratives Perfekt, Ü 7; Wortstellung, Ü 5; Kasusgebrauch bei </w:t>
            </w:r>
            <w:r>
              <w:rPr>
                <w:i/>
                <w:szCs w:val="20"/>
              </w:rPr>
              <w:t>ad</w:t>
            </w:r>
            <w:r>
              <w:rPr>
                <w:szCs w:val="20"/>
              </w:rPr>
              <w:t xml:space="preserve"> m. Akk.)</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Kulturkompetenz</w:t>
            </w:r>
          </w:p>
          <w:p>
            <w:pPr>
              <w:numPr>
                <w:ilvl w:val="0"/>
                <w:numId w:val="2"/>
              </w:numPr>
              <w:spacing w:before="60"/>
              <w:jc w:val="left"/>
              <w:rPr>
                <w:szCs w:val="20"/>
              </w:rPr>
            </w:pPr>
            <w:r>
              <w:t>Kapitol (</w:t>
            </w:r>
            <w:r>
              <w:rPr>
                <w:szCs w:val="20"/>
              </w:rPr>
              <w:t>kultisch</w:t>
            </w:r>
            <w:r>
              <w:t>-religiöser Raum</w:t>
            </w:r>
            <w:r>
              <w:rPr>
                <w:szCs w:val="20"/>
              </w:rPr>
              <w:t>)</w:t>
            </w:r>
          </w:p>
          <w:p>
            <w:pPr>
              <w:numPr>
                <w:ilvl w:val="0"/>
                <w:numId w:val="2"/>
              </w:numPr>
              <w:spacing w:before="60"/>
              <w:jc w:val="left"/>
              <w:rPr>
                <w:szCs w:val="20"/>
              </w:rPr>
            </w:pPr>
            <w:r>
              <w:rPr>
                <w:szCs w:val="20"/>
              </w:rPr>
              <w:t>Topographie der Stadt Rom:</w:t>
            </w:r>
          </w:p>
          <w:p>
            <w:pPr>
              <w:numPr>
                <w:ilvl w:val="0"/>
                <w:numId w:val="1"/>
              </w:numPr>
              <w:ind w:left="340" w:hanging="170"/>
              <w:jc w:val="left"/>
              <w:rPr>
                <w:szCs w:val="20"/>
              </w:rPr>
            </w:pPr>
            <w:r>
              <w:rPr>
                <w:szCs w:val="20"/>
              </w:rPr>
              <w:t>Kapitol</w:t>
            </w:r>
          </w:p>
          <w:p>
            <w:pPr>
              <w:numPr>
                <w:ilvl w:val="0"/>
                <w:numId w:val="2"/>
              </w:numPr>
              <w:spacing w:before="60"/>
              <w:jc w:val="left"/>
              <w:rPr>
                <w:szCs w:val="20"/>
              </w:rPr>
            </w:pPr>
            <w:r>
              <w:rPr>
                <w:szCs w:val="20"/>
              </w:rPr>
              <w:t>Götter:</w:t>
            </w:r>
          </w:p>
          <w:p>
            <w:pPr>
              <w:numPr>
                <w:ilvl w:val="0"/>
                <w:numId w:val="1"/>
              </w:numPr>
              <w:ind w:left="340" w:hanging="170"/>
              <w:jc w:val="left"/>
              <w:rPr>
                <w:szCs w:val="20"/>
              </w:rPr>
            </w:pPr>
            <w:r>
              <w:rPr>
                <w:szCs w:val="20"/>
              </w:rPr>
              <w:t>Jupiter</w:t>
            </w:r>
          </w:p>
          <w:p>
            <w:pPr>
              <w:numPr>
                <w:ilvl w:val="0"/>
                <w:numId w:val="1"/>
              </w:numPr>
              <w:ind w:left="340" w:hanging="170"/>
              <w:jc w:val="left"/>
              <w:rPr>
                <w:szCs w:val="20"/>
              </w:rPr>
            </w:pPr>
            <w:r>
              <w:rPr>
                <w:szCs w:val="20"/>
              </w:rPr>
              <w:t>Juno</w:t>
            </w:r>
          </w:p>
          <w:p>
            <w:pPr>
              <w:numPr>
                <w:ilvl w:val="0"/>
                <w:numId w:val="2"/>
              </w:numPr>
              <w:spacing w:before="60"/>
              <w:jc w:val="left"/>
              <w:rPr>
                <w:szCs w:val="20"/>
              </w:rPr>
            </w:pPr>
            <w:r>
              <w:rPr>
                <w:szCs w:val="20"/>
              </w:rPr>
              <w:t>Tempel, Opfer</w:t>
            </w:r>
          </w:p>
          <w:p>
            <w:pPr>
              <w:numPr>
                <w:ilvl w:val="0"/>
                <w:numId w:val="2"/>
              </w:numPr>
              <w:spacing w:before="60"/>
              <w:jc w:val="left"/>
            </w:pPr>
            <w:r>
              <w:rPr>
                <w:szCs w:val="20"/>
              </w:rPr>
              <w:t>politisch-historische Ereignisse</w:t>
            </w:r>
            <w:r>
              <w:t xml:space="preserve"> (hier: Galliersturm 387 v.</w:t>
            </w:r>
            <w:r>
              <w:rPr>
                <w:sz w:val="14"/>
              </w:rPr>
              <w:t> </w:t>
            </w:r>
            <w:r>
              <w:t>Chr.)</w:t>
            </w:r>
          </w:p>
          <w:p>
            <w:pPr>
              <w:numPr>
                <w:ilvl w:val="0"/>
                <w:numId w:val="2"/>
              </w:numPr>
              <w:spacing w:before="60"/>
              <w:jc w:val="left"/>
            </w:pPr>
            <w:r>
              <w:rPr>
                <w:szCs w:val="20"/>
              </w:rPr>
              <w:t>altrömische Persönlichkeiten als Exempla (hier: M. Manlius)</w:t>
            </w:r>
          </w:p>
          <w:p>
            <w:pPr>
              <w:numPr>
                <w:ilvl w:val="0"/>
                <w:numId w:val="2"/>
              </w:numPr>
              <w:spacing w:before="60"/>
              <w:jc w:val="left"/>
            </w:pPr>
            <w:r>
              <w:rPr>
                <w:szCs w:val="20"/>
              </w:rPr>
              <w:br w:type="page"/>
              <w:t>stellen die Andersartigkeit der römischen Kultur heraus und benennen die Unterschiede zur eigenen Kultur (hier: Religion und Götterkult)</w:t>
            </w:r>
          </w:p>
          <w:p>
            <w:pPr>
              <w:numPr>
                <w:ilvl w:val="0"/>
                <w:numId w:val="2"/>
              </w:numPr>
              <w:spacing w:before="60"/>
              <w:jc w:val="left"/>
            </w:pPr>
            <w:r>
              <w:rPr>
                <w:szCs w:val="20"/>
              </w:rPr>
              <w:t>nutzen das Lehrbuch als Informationsquelle (hier: Eigennamenverzeichnis)</w:t>
            </w:r>
          </w:p>
          <w:p>
            <w:pPr>
              <w:numPr>
                <w:ilvl w:val="0"/>
                <w:numId w:val="2"/>
              </w:numPr>
              <w:spacing w:before="60"/>
              <w:jc w:val="left"/>
              <w:rPr>
                <w:szCs w:val="20"/>
              </w:rPr>
            </w:pPr>
            <w:r>
              <w:rPr>
                <w:color w:val="008000"/>
                <w:szCs w:val="20"/>
              </w:rPr>
              <w:t>Kern- und Fachbegriffe:</w:t>
            </w:r>
          </w:p>
          <w:p>
            <w:pPr>
              <w:numPr>
                <w:ilvl w:val="0"/>
                <w:numId w:val="1"/>
              </w:numPr>
              <w:ind w:left="340" w:hanging="170"/>
              <w:jc w:val="left"/>
            </w:pPr>
            <w:r>
              <w:rPr>
                <w:i/>
                <w:szCs w:val="20"/>
              </w:rPr>
              <w:t xml:space="preserve">pietas </w:t>
            </w:r>
            <w:r>
              <w:t>(s. Anm.)</w:t>
            </w:r>
          </w:p>
          <w:p>
            <w:pPr>
              <w:numPr>
                <w:ilvl w:val="0"/>
                <w:numId w:val="1"/>
              </w:numPr>
              <w:ind w:left="340" w:hanging="170"/>
              <w:jc w:val="left"/>
            </w:pPr>
            <w:r>
              <w:t>Laren</w:t>
            </w:r>
            <w:r>
              <w:rPr>
                <w:i/>
                <w:szCs w:val="20"/>
              </w:rPr>
              <w:t xml:space="preserve"> </w:t>
            </w:r>
            <w:r>
              <w:t>(+)</w:t>
            </w:r>
          </w:p>
          <w:p>
            <w:pPr>
              <w:numPr>
                <w:ilvl w:val="0"/>
                <w:numId w:val="1"/>
              </w:numPr>
              <w:ind w:left="340" w:hanging="170"/>
              <w:jc w:val="left"/>
            </w:pPr>
            <w:r>
              <w:t>Penaten</w:t>
            </w:r>
            <w:r>
              <w:rPr>
                <w:i/>
                <w:szCs w:val="20"/>
              </w:rPr>
              <w:t xml:space="preserve"> </w:t>
            </w:r>
            <w:r>
              <w:t>(+)</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Anmerkungen/Sonstiges</w:t>
            </w:r>
          </w:p>
          <w:p>
            <w:pPr>
              <w:numPr>
                <w:ilvl w:val="0"/>
                <w:numId w:val="2"/>
              </w:numPr>
              <w:spacing w:before="60"/>
              <w:jc w:val="left"/>
            </w:pPr>
            <w:r>
              <w:t>Zu Minerva (als Bestandteil der Kapitolinischen Trias) vgl. Lehrerbuch 1 (ISBN 978-3-12-622306-5), S.</w:t>
            </w:r>
            <w:r>
              <w:rPr>
                <w:sz w:val="14"/>
              </w:rPr>
              <w:t> </w:t>
            </w:r>
            <w:r>
              <w:t>175.</w:t>
            </w:r>
          </w:p>
          <w:p>
            <w:pPr>
              <w:numPr>
                <w:ilvl w:val="0"/>
                <w:numId w:val="2"/>
              </w:numPr>
              <w:spacing w:before="60"/>
              <w:jc w:val="left"/>
            </w:pPr>
            <w:r>
              <w:rPr>
                <w:szCs w:val="20"/>
              </w:rPr>
              <w:t xml:space="preserve">Der Kernbegriff </w:t>
            </w:r>
            <w:r>
              <w:rPr>
                <w:i/>
                <w:szCs w:val="20"/>
              </w:rPr>
              <w:t>pietas</w:t>
            </w:r>
            <w:r>
              <w:rPr>
                <w:szCs w:val="20"/>
              </w:rPr>
              <w:t xml:space="preserve"> wird im Sachtext eingeführt (S.</w:t>
            </w:r>
            <w:r>
              <w:rPr>
                <w:sz w:val="14"/>
                <w:szCs w:val="20"/>
              </w:rPr>
              <w:t> </w:t>
            </w:r>
            <w:r>
              <w:rPr>
                <w:szCs w:val="20"/>
              </w:rPr>
              <w:t xml:space="preserve">80), die Vokabel </w:t>
            </w:r>
            <w:r>
              <w:rPr>
                <w:i/>
                <w:szCs w:val="20"/>
              </w:rPr>
              <w:t>pius</w:t>
            </w:r>
            <w:r>
              <w:rPr>
                <w:szCs w:val="20"/>
              </w:rPr>
              <w:t xml:space="preserve"> in L.</w:t>
            </w:r>
            <w:r>
              <w:rPr>
                <w:sz w:val="14"/>
                <w:szCs w:val="20"/>
              </w:rPr>
              <w:t> </w:t>
            </w:r>
            <w:r>
              <w:rPr>
                <w:szCs w:val="20"/>
              </w:rPr>
              <w:t>11.</w:t>
            </w:r>
          </w:p>
          <w:p>
            <w:pPr>
              <w:spacing w:before="60"/>
              <w:jc w:val="left"/>
              <w:rPr>
                <w:szCs w:val="20"/>
              </w:rPr>
            </w:pPr>
          </w:p>
          <w:p>
            <w:pPr>
              <w:spacing w:before="60"/>
              <w:jc w:val="left"/>
              <w:rPr>
                <w:szCs w:val="20"/>
              </w:rPr>
            </w:pPr>
          </w:p>
          <w:p>
            <w:pPr>
              <w:spacing w:before="60"/>
              <w:jc w:val="left"/>
              <w:rPr>
                <w:szCs w:val="20"/>
              </w:rPr>
            </w:pPr>
          </w:p>
          <w:p>
            <w:pPr>
              <w:spacing w:before="60"/>
              <w:jc w:val="left"/>
            </w:pPr>
          </w:p>
        </w:tc>
      </w:tr>
    </w:tbl>
    <w:p/>
    <w:p>
      <w:pPr>
        <w:spacing w:after="120" w:line="240"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tc>
          <w:tcPr>
            <w:tcW w:w="2098" w:type="dxa"/>
            <w:vMerge w:val="restart"/>
            <w:tcMar>
              <w:top w:w="57" w:type="dxa"/>
              <w:bottom w:w="57" w:type="dxa"/>
            </w:tcMar>
          </w:tcPr>
          <w:p>
            <w:pPr>
              <w:ind w:left="272" w:hanging="272"/>
              <w:jc w:val="left"/>
              <w:rPr>
                <w:b/>
                <w:color w:val="3333CC"/>
              </w:rPr>
            </w:pPr>
            <w:r>
              <w:rPr>
                <w:b/>
                <w:color w:val="3333CC"/>
              </w:rPr>
              <w:lastRenderedPageBreak/>
              <w:t>11</w:t>
            </w:r>
            <w:r>
              <w:rPr>
                <w:b/>
                <w:color w:val="3333CC"/>
              </w:rPr>
              <w:tab/>
              <w:t>Aeneas flieht aus Troja</w:t>
            </w:r>
          </w:p>
          <w:p>
            <w:pPr>
              <w:numPr>
                <w:ilvl w:val="0"/>
                <w:numId w:val="2"/>
              </w:numPr>
              <w:spacing w:before="60"/>
              <w:jc w:val="left"/>
            </w:pPr>
            <w:r>
              <w:t>Ind. Impf. Akt.</w:t>
            </w:r>
          </w:p>
          <w:p>
            <w:pPr>
              <w:numPr>
                <w:ilvl w:val="0"/>
                <w:numId w:val="2"/>
              </w:numPr>
              <w:spacing w:before="60"/>
              <w:jc w:val="left"/>
            </w:pPr>
            <w:r>
              <w:t xml:space="preserve">Ind. Perf. Akt. (Redupl., </w:t>
            </w:r>
            <w:r>
              <w:rPr>
                <w:i/>
              </w:rPr>
              <w:t>esse</w:t>
            </w:r>
            <w:r>
              <w:t xml:space="preserve">, </w:t>
            </w:r>
            <w:r>
              <w:rPr>
                <w:i/>
              </w:rPr>
              <w:t>posse</w:t>
            </w:r>
            <w:r>
              <w:t xml:space="preserve">, </w:t>
            </w:r>
            <w:r>
              <w:rPr>
                <w:i/>
              </w:rPr>
              <w:t>ire</w:t>
            </w:r>
            <w:r>
              <w:t>)</w:t>
            </w:r>
          </w:p>
        </w:tc>
        <w:tc>
          <w:tcPr>
            <w:tcW w:w="6974" w:type="dxa"/>
            <w:tcMar>
              <w:top w:w="57" w:type="dxa"/>
              <w:bottom w:w="57" w:type="dxa"/>
            </w:tcMar>
          </w:tcPr>
          <w:p>
            <w:pPr>
              <w:jc w:val="left"/>
              <w:rPr>
                <w:b/>
                <w:color w:val="FF0066"/>
              </w:rPr>
            </w:pPr>
            <w:r>
              <w:rPr>
                <w:b/>
                <w:color w:val="CC0066"/>
              </w:rPr>
              <w:t>Sprachkompetenz</w:t>
            </w:r>
          </w:p>
          <w:p>
            <w:pPr>
              <w:numPr>
                <w:ilvl w:val="0"/>
                <w:numId w:val="2"/>
              </w:numPr>
              <w:spacing w:before="60"/>
              <w:jc w:val="left"/>
            </w:pPr>
            <w:r>
              <w:t xml:space="preserve">30 neue </w:t>
            </w:r>
            <w:r>
              <w:rPr>
                <w:szCs w:val="20"/>
              </w:rPr>
              <w:t>Vok</w:t>
            </w:r>
            <w:r>
              <w:t>. (insges. 355)</w:t>
            </w:r>
          </w:p>
          <w:p>
            <w:pPr>
              <w:numPr>
                <w:ilvl w:val="0"/>
                <w:numId w:val="2"/>
              </w:numPr>
              <w:spacing w:before="60"/>
              <w:jc w:val="left"/>
            </w:pPr>
            <w:r>
              <w:rPr>
                <w:szCs w:val="20"/>
              </w:rPr>
              <w:t>sortieren die gelernten Wörter nach semantischen Gruppen (hier: Wortfamilien, Ü 5)</w:t>
            </w:r>
          </w:p>
          <w:p>
            <w:pPr>
              <w:numPr>
                <w:ilvl w:val="0"/>
                <w:numId w:val="2"/>
              </w:numPr>
              <w:spacing w:before="60"/>
              <w:jc w:val="left"/>
            </w:pPr>
            <w:r>
              <w:t>geben die Paradigmen wieder:</w:t>
            </w:r>
          </w:p>
          <w:p>
            <w:pPr>
              <w:numPr>
                <w:ilvl w:val="0"/>
                <w:numId w:val="1"/>
              </w:numPr>
              <w:ind w:left="340" w:hanging="170"/>
              <w:jc w:val="left"/>
            </w:pPr>
            <w:r>
              <w:rPr>
                <w:szCs w:val="20"/>
              </w:rPr>
              <w:t>der Verben der a-, e-, i- und kons. Konj. (inkl. kurzvok. i-Konj.) sowie</w:t>
            </w:r>
            <w:r>
              <w:rPr>
                <w:i/>
                <w:szCs w:val="20"/>
              </w:rPr>
              <w:t xml:space="preserve"> esse</w:t>
            </w:r>
            <w:r>
              <w:t xml:space="preserve">, </w:t>
            </w:r>
            <w:r>
              <w:rPr>
                <w:i/>
                <w:szCs w:val="20"/>
              </w:rPr>
              <w:t xml:space="preserve">posse </w:t>
            </w:r>
            <w:r>
              <w:t xml:space="preserve">und </w:t>
            </w:r>
            <w:r>
              <w:rPr>
                <w:i/>
                <w:szCs w:val="20"/>
              </w:rPr>
              <w:t>ire</w:t>
            </w:r>
            <w:r>
              <w:rPr>
                <w:szCs w:val="20"/>
              </w:rPr>
              <w:t xml:space="preserve"> (+) im Ind. Präs. und Perf. Akt.</w:t>
            </w:r>
          </w:p>
          <w:p>
            <w:pPr>
              <w:numPr>
                <w:ilvl w:val="0"/>
                <w:numId w:val="2"/>
              </w:numPr>
              <w:spacing w:before="60"/>
              <w:jc w:val="left"/>
            </w:pPr>
            <w:r>
              <w:rPr>
                <w:szCs w:val="20"/>
              </w:rPr>
              <w:t>identifizieren Formen im Ind. Impf. Akt. anhand der Signale für Person, Numerus und Tempus (+)</w:t>
            </w:r>
          </w:p>
          <w:p>
            <w:pPr>
              <w:numPr>
                <w:ilvl w:val="0"/>
                <w:numId w:val="2"/>
              </w:numPr>
              <w:spacing w:before="60"/>
              <w:jc w:val="left"/>
            </w:pPr>
            <w:r>
              <w:rPr>
                <w:szCs w:val="20"/>
              </w:rPr>
              <w:t>vergleichen die Funktionen der Tempora im Lateinischen und Deutschen und benennen Unterschiede zum Deutschen (hier: Impf. und Perf.) (+)</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Textkompetenz</w:t>
            </w:r>
          </w:p>
          <w:p>
            <w:pPr>
              <w:numPr>
                <w:ilvl w:val="0"/>
                <w:numId w:val="2"/>
              </w:numPr>
              <w:spacing w:before="60"/>
              <w:jc w:val="left"/>
            </w:pPr>
            <w:r>
              <w:rPr>
                <w:szCs w:val="20"/>
              </w:rPr>
              <w:t>erklären</w:t>
            </w:r>
            <w:r>
              <w:t xml:space="preserve"> die Funktion von Grammatik (hier: Tempusrelief) (+)</w:t>
            </w:r>
          </w:p>
          <w:p>
            <w:pPr>
              <w:numPr>
                <w:ilvl w:val="0"/>
                <w:numId w:val="2"/>
              </w:numPr>
              <w:spacing w:before="60"/>
              <w:jc w:val="left"/>
            </w:pPr>
            <w:r>
              <w:rPr>
                <w:szCs w:val="20"/>
              </w:rPr>
              <w:t xml:space="preserve">arbeiten Eigenschaften von Personen heraus </w:t>
            </w:r>
            <w:r>
              <w:t xml:space="preserve">(hier: </w:t>
            </w:r>
            <w:r>
              <w:rPr>
                <w:i/>
              </w:rPr>
              <w:t>pius Aeneas</w:t>
            </w:r>
            <w:r>
              <w:t>)</w:t>
            </w:r>
          </w:p>
          <w:p>
            <w:pPr>
              <w:numPr>
                <w:ilvl w:val="0"/>
                <w:numId w:val="2"/>
              </w:numPr>
              <w:spacing w:before="60"/>
              <w:jc w:val="left"/>
            </w:pPr>
            <w:r>
              <w:t>vergleichen und bewerten andere Materialien in Hinblick auf Textbezug und Abbildung der inhaltlichen Aussagen (S.</w:t>
            </w:r>
            <w:r>
              <w:rPr>
                <w:sz w:val="14"/>
              </w:rPr>
              <w:t> </w:t>
            </w:r>
            <w:r>
              <w:t>85: Bernini)</w:t>
            </w:r>
          </w:p>
          <w:p>
            <w:pPr>
              <w:numPr>
                <w:ilvl w:val="0"/>
                <w:numId w:val="2"/>
              </w:numPr>
              <w:spacing w:before="60"/>
              <w:jc w:val="left"/>
            </w:pPr>
            <w:r>
              <w:t>setzen den Inhalt des übersetzten Textes gestaltend um (hier: Skizze eines Drehbuchs; S.</w:t>
            </w:r>
            <w:r>
              <w:rPr>
                <w:sz w:val="14"/>
              </w:rPr>
              <w:t> </w:t>
            </w:r>
            <w:r>
              <w:t>87: Umsetzung von Text in Bild)</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Kulturkompetenz</w:t>
            </w:r>
          </w:p>
          <w:p>
            <w:pPr>
              <w:numPr>
                <w:ilvl w:val="0"/>
                <w:numId w:val="2"/>
              </w:numPr>
              <w:spacing w:before="60"/>
              <w:jc w:val="left"/>
            </w:pPr>
            <w:r>
              <w:rPr>
                <w:szCs w:val="20"/>
              </w:rPr>
              <w:t xml:space="preserve">einzelne Mythen: </w:t>
            </w:r>
            <w:r>
              <w:t>Aeneas in Troja</w:t>
            </w:r>
          </w:p>
          <w:p>
            <w:pPr>
              <w:numPr>
                <w:ilvl w:val="0"/>
                <w:numId w:val="2"/>
              </w:numPr>
              <w:spacing w:before="60"/>
              <w:jc w:val="left"/>
            </w:pPr>
            <w:r>
              <w:rPr>
                <w:szCs w:val="20"/>
              </w:rPr>
              <w:t>benennen das Fremde in den Verhaltensweisen und Regeln der Römer (hier: Verhaltensweisen des Aeneas)</w:t>
            </w:r>
          </w:p>
          <w:p>
            <w:pPr>
              <w:numPr>
                <w:ilvl w:val="0"/>
                <w:numId w:val="2"/>
              </w:numPr>
              <w:spacing w:before="60"/>
              <w:jc w:val="left"/>
            </w:pPr>
            <w:r>
              <w:rPr>
                <w:color w:val="008000"/>
                <w:szCs w:val="20"/>
              </w:rPr>
              <w:t>Kernbegriffe und Namen:</w:t>
            </w:r>
          </w:p>
          <w:p>
            <w:pPr>
              <w:numPr>
                <w:ilvl w:val="0"/>
                <w:numId w:val="1"/>
              </w:numPr>
              <w:ind w:left="340" w:hanging="170"/>
              <w:jc w:val="left"/>
            </w:pPr>
            <w:r>
              <w:rPr>
                <w:i/>
                <w:szCs w:val="20"/>
              </w:rPr>
              <w:t>pietas</w:t>
            </w:r>
          </w:p>
          <w:p>
            <w:pPr>
              <w:numPr>
                <w:ilvl w:val="0"/>
                <w:numId w:val="1"/>
              </w:numPr>
              <w:ind w:left="340" w:hanging="170"/>
              <w:jc w:val="left"/>
            </w:pPr>
            <w:r>
              <w:t>Vergil (+)</w:t>
            </w:r>
          </w:p>
          <w:p>
            <w:pPr>
              <w:numPr>
                <w:ilvl w:val="0"/>
                <w:numId w:val="1"/>
              </w:numPr>
              <w:ind w:left="340" w:hanging="170"/>
              <w:jc w:val="left"/>
            </w:pPr>
            <w:r>
              <w:t>Troja (+)</w:t>
            </w:r>
          </w:p>
          <w:p>
            <w:pPr>
              <w:numPr>
                <w:ilvl w:val="0"/>
                <w:numId w:val="1"/>
              </w:numPr>
              <w:ind w:left="340" w:hanging="170"/>
              <w:jc w:val="left"/>
            </w:pPr>
            <w:r>
              <w:t>pius Aeneas (+)</w:t>
            </w:r>
          </w:p>
          <w:p>
            <w:pPr>
              <w:numPr>
                <w:ilvl w:val="0"/>
                <w:numId w:val="1"/>
              </w:numPr>
              <w:ind w:left="340" w:hanging="170"/>
              <w:jc w:val="left"/>
            </w:pPr>
            <w:r>
              <w:t>Dido (+)</w:t>
            </w:r>
          </w:p>
          <w:p>
            <w:pPr>
              <w:numPr>
                <w:ilvl w:val="0"/>
                <w:numId w:val="1"/>
              </w:numPr>
              <w:ind w:left="340" w:hanging="170"/>
              <w:jc w:val="left"/>
            </w:pPr>
            <w:r>
              <w:t>Merkur (+)</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Anmerkungen/Sonstiges</w:t>
            </w:r>
          </w:p>
          <w:p>
            <w:pPr>
              <w:spacing w:before="60"/>
              <w:jc w:val="left"/>
              <w:rPr>
                <w:szCs w:val="20"/>
              </w:rPr>
            </w:pPr>
          </w:p>
          <w:p>
            <w:pPr>
              <w:spacing w:before="60"/>
              <w:jc w:val="left"/>
              <w:rPr>
                <w:szCs w:val="20"/>
              </w:rPr>
            </w:pPr>
          </w:p>
          <w:p>
            <w:pPr>
              <w:spacing w:before="60"/>
              <w:jc w:val="left"/>
              <w:rPr>
                <w:szCs w:val="20"/>
              </w:rPr>
            </w:pPr>
          </w:p>
          <w:p>
            <w:pPr>
              <w:spacing w:before="60"/>
              <w:jc w:val="left"/>
              <w:rPr>
                <w:szCs w:val="20"/>
              </w:rPr>
            </w:pPr>
          </w:p>
        </w:tc>
      </w:tr>
    </w:tbl>
    <w:p/>
    <w:p>
      <w:pPr>
        <w:spacing w:after="120" w:line="240"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tc>
          <w:tcPr>
            <w:tcW w:w="2098" w:type="dxa"/>
            <w:vMerge w:val="restart"/>
            <w:tcMar>
              <w:top w:w="57" w:type="dxa"/>
              <w:bottom w:w="57" w:type="dxa"/>
            </w:tcMar>
          </w:tcPr>
          <w:p>
            <w:pPr>
              <w:ind w:left="272" w:hanging="272"/>
              <w:jc w:val="left"/>
              <w:rPr>
                <w:b/>
                <w:color w:val="3333CC"/>
              </w:rPr>
            </w:pPr>
            <w:r>
              <w:rPr>
                <w:b/>
                <w:color w:val="3333CC"/>
              </w:rPr>
              <w:lastRenderedPageBreak/>
              <w:t>12</w:t>
            </w:r>
            <w:r>
              <w:rPr>
                <w:b/>
                <w:color w:val="3333CC"/>
              </w:rPr>
              <w:tab/>
              <w:t>Aeneas in Italien</w:t>
            </w:r>
          </w:p>
          <w:p>
            <w:pPr>
              <w:numPr>
                <w:ilvl w:val="0"/>
                <w:numId w:val="2"/>
              </w:numPr>
              <w:spacing w:before="60"/>
              <w:jc w:val="left"/>
            </w:pPr>
            <w:r>
              <w:t>Fut. I Akt.</w:t>
            </w:r>
          </w:p>
          <w:p>
            <w:pPr>
              <w:numPr>
                <w:ilvl w:val="0"/>
                <w:numId w:val="2"/>
              </w:numPr>
              <w:spacing w:before="60"/>
              <w:jc w:val="left"/>
            </w:pPr>
            <w:r>
              <w:t>Substantivierung von Adj. und Pron. dem.</w:t>
            </w:r>
          </w:p>
          <w:p>
            <w:pPr>
              <w:numPr>
                <w:ilvl w:val="0"/>
                <w:numId w:val="2"/>
              </w:numPr>
              <w:spacing w:before="60"/>
              <w:jc w:val="left"/>
            </w:pPr>
            <w:r>
              <w:rPr>
                <w:i/>
              </w:rPr>
              <w:t>ipse</w:t>
            </w:r>
          </w:p>
          <w:p>
            <w:pPr>
              <w:numPr>
                <w:ilvl w:val="0"/>
                <w:numId w:val="2"/>
              </w:numPr>
              <w:spacing w:before="60"/>
              <w:jc w:val="left"/>
            </w:pPr>
            <w:r>
              <w:t>Komposita</w:t>
            </w:r>
          </w:p>
        </w:tc>
        <w:tc>
          <w:tcPr>
            <w:tcW w:w="6974" w:type="dxa"/>
            <w:tcMar>
              <w:top w:w="57" w:type="dxa"/>
              <w:bottom w:w="57" w:type="dxa"/>
            </w:tcMar>
          </w:tcPr>
          <w:p>
            <w:pPr>
              <w:jc w:val="left"/>
              <w:rPr>
                <w:b/>
                <w:color w:val="FF0066"/>
              </w:rPr>
            </w:pPr>
            <w:r>
              <w:rPr>
                <w:b/>
                <w:color w:val="CC0066"/>
              </w:rPr>
              <w:t>Sprachkompetenz</w:t>
            </w:r>
          </w:p>
          <w:p>
            <w:pPr>
              <w:numPr>
                <w:ilvl w:val="0"/>
                <w:numId w:val="2"/>
              </w:numPr>
              <w:spacing w:before="60"/>
              <w:jc w:val="left"/>
            </w:pPr>
            <w:r>
              <w:t xml:space="preserve">26 neue </w:t>
            </w:r>
            <w:r>
              <w:rPr>
                <w:szCs w:val="20"/>
              </w:rPr>
              <w:t>Vok</w:t>
            </w:r>
            <w:r>
              <w:t>. (insges. 381)</w:t>
            </w:r>
          </w:p>
          <w:p>
            <w:pPr>
              <w:numPr>
                <w:ilvl w:val="0"/>
                <w:numId w:val="2"/>
              </w:numPr>
              <w:spacing w:before="60"/>
              <w:jc w:val="left"/>
            </w:pPr>
            <w:r>
              <w:t>geben die Paradigmen wieder:</w:t>
            </w:r>
          </w:p>
          <w:p>
            <w:pPr>
              <w:numPr>
                <w:ilvl w:val="0"/>
                <w:numId w:val="1"/>
              </w:numPr>
              <w:ind w:left="340" w:hanging="170"/>
              <w:jc w:val="left"/>
            </w:pPr>
            <w:r>
              <w:rPr>
                <w:szCs w:val="20"/>
              </w:rPr>
              <w:t xml:space="preserve">der Pronomina </w:t>
            </w:r>
            <w:r>
              <w:rPr>
                <w:i/>
                <w:szCs w:val="20"/>
              </w:rPr>
              <w:t>hic</w:t>
            </w:r>
            <w:r>
              <w:rPr>
                <w:szCs w:val="20"/>
              </w:rPr>
              <w:t xml:space="preserve">, </w:t>
            </w:r>
            <w:r>
              <w:rPr>
                <w:i/>
                <w:szCs w:val="20"/>
              </w:rPr>
              <w:t>ille</w:t>
            </w:r>
            <w:r>
              <w:rPr>
                <w:szCs w:val="20"/>
              </w:rPr>
              <w:t xml:space="preserve"> und </w:t>
            </w:r>
            <w:r>
              <w:rPr>
                <w:i/>
                <w:szCs w:val="20"/>
              </w:rPr>
              <w:t xml:space="preserve">ipse </w:t>
            </w:r>
            <w:r>
              <w:rPr>
                <w:szCs w:val="20"/>
              </w:rPr>
              <w:t>(+)</w:t>
            </w:r>
          </w:p>
          <w:p>
            <w:pPr>
              <w:numPr>
                <w:ilvl w:val="0"/>
                <w:numId w:val="2"/>
              </w:numPr>
              <w:spacing w:before="60"/>
              <w:jc w:val="left"/>
              <w:rPr>
                <w:szCs w:val="20"/>
              </w:rPr>
            </w:pPr>
            <w:r>
              <w:rPr>
                <w:szCs w:val="20"/>
              </w:rPr>
              <w:t>identifizieren Formen im Fut. I Akt. anhand der Signale für Person, Numerus und Tempus (+)</w:t>
            </w:r>
          </w:p>
          <w:p>
            <w:pPr>
              <w:numPr>
                <w:ilvl w:val="0"/>
                <w:numId w:val="2"/>
              </w:numPr>
              <w:spacing w:before="60"/>
              <w:jc w:val="left"/>
            </w:pPr>
            <w:r>
              <w:rPr>
                <w:szCs w:val="20"/>
              </w:rPr>
              <w:t>identifizieren und benennen weitere Füllungsmöglichkeiten der Satzglieder (hier: substantivierte Adjektive und Pronomina) (+)</w:t>
            </w:r>
          </w:p>
          <w:p>
            <w:pPr>
              <w:numPr>
                <w:ilvl w:val="0"/>
                <w:numId w:val="2"/>
              </w:numPr>
              <w:spacing w:before="60"/>
              <w:jc w:val="left"/>
            </w:pPr>
            <w:r>
              <w:t>erkennen Wörter trotz Lautveränderung wieder (Ü 9) (+)</w:t>
            </w:r>
          </w:p>
          <w:p>
            <w:pPr>
              <w:numPr>
                <w:ilvl w:val="0"/>
                <w:numId w:val="2"/>
              </w:numPr>
              <w:spacing w:before="60"/>
              <w:jc w:val="left"/>
            </w:pPr>
            <w:r>
              <w:rPr>
                <w:szCs w:val="20"/>
              </w:rPr>
              <w:t>benennen grundlegende Regeln der Lautveränderung (hier: Assimilation</w:t>
            </w:r>
            <w:r>
              <w:t>, Ü 9) (+</w:t>
            </w:r>
            <w:r>
              <w:rPr>
                <w:szCs w:val="20"/>
              </w:rPr>
              <w:t>)</w:t>
            </w:r>
          </w:p>
          <w:p>
            <w:pPr>
              <w:numPr>
                <w:ilvl w:val="0"/>
                <w:numId w:val="2"/>
              </w:numPr>
              <w:spacing w:before="60"/>
              <w:jc w:val="left"/>
            </w:pPr>
            <w:r>
              <w:rPr>
                <w:szCs w:val="20"/>
              </w:rPr>
              <w:t>vergleichen die Funktionen der Tempora im Lateinischen und Deutschen und benennen Unterschiede zum Deutschen (hier: Fut. I) (+)</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Textkompetenz</w:t>
            </w:r>
          </w:p>
          <w:p>
            <w:pPr>
              <w:numPr>
                <w:ilvl w:val="0"/>
                <w:numId w:val="2"/>
              </w:numPr>
              <w:spacing w:before="60"/>
              <w:jc w:val="left"/>
            </w:pPr>
            <w:r>
              <w:rPr>
                <w:szCs w:val="20"/>
              </w:rPr>
              <w:t>erklären</w:t>
            </w:r>
            <w:r>
              <w:t xml:space="preserve"> die Funktion von Grammatik (hier: Tempusrelief) (+)</w:t>
            </w:r>
          </w:p>
          <w:p>
            <w:pPr>
              <w:numPr>
                <w:ilvl w:val="0"/>
                <w:numId w:val="2"/>
              </w:numPr>
              <w:spacing w:before="60"/>
              <w:jc w:val="left"/>
            </w:pPr>
            <w:r>
              <w:t xml:space="preserve">wählen kontextbezogen die passende Bedeutung häufig anzutreffender polysemer Wörter aus (hier: </w:t>
            </w:r>
            <w:r>
              <w:rPr>
                <w:i/>
              </w:rPr>
              <w:t>ipse</w:t>
            </w:r>
            <w:r>
              <w:t>, Ü 6)</w:t>
            </w:r>
          </w:p>
          <w:p>
            <w:pPr>
              <w:numPr>
                <w:ilvl w:val="0"/>
                <w:numId w:val="2"/>
              </w:numPr>
              <w:spacing w:before="60"/>
              <w:jc w:val="left"/>
            </w:pPr>
            <w:r>
              <w:t>setzen den Inhalt des übersetzten Textes gestaltend um (hier: Umwandlung in eine andere Textsorte)</w:t>
            </w:r>
          </w:p>
          <w:p>
            <w:pPr>
              <w:numPr>
                <w:ilvl w:val="0"/>
                <w:numId w:val="2"/>
              </w:numPr>
              <w:spacing w:before="60"/>
              <w:jc w:val="left"/>
            </w:pPr>
            <w:r>
              <w:t>vergleichen und bewerten andere Materialien in Hinblick auf Textbezug und Abbildung der inhaltlichen Aussagen (hier: Gemälde von Brueghel, Lorrain und Giordano, S.</w:t>
            </w:r>
            <w:r>
              <w:rPr>
                <w:sz w:val="14"/>
              </w:rPr>
              <w:t> </w:t>
            </w:r>
            <w:r>
              <w:t>92</w:t>
            </w:r>
            <w:r>
              <w:rPr>
                <w:sz w:val="14"/>
              </w:rPr>
              <w:t> </w:t>
            </w:r>
            <w:r>
              <w:t>f.)</w:t>
            </w:r>
          </w:p>
          <w:p>
            <w:pPr>
              <w:numPr>
                <w:ilvl w:val="0"/>
                <w:numId w:val="2"/>
              </w:numPr>
              <w:spacing w:before="60"/>
              <w:jc w:val="left"/>
            </w:pPr>
            <w:r>
              <w:rPr>
                <w:szCs w:val="20"/>
              </w:rPr>
              <w:t xml:space="preserve">arbeiten Eigenschaften von Personen heraus </w:t>
            </w:r>
            <w:r>
              <w:t xml:space="preserve">(hier: </w:t>
            </w:r>
            <w:r>
              <w:rPr>
                <w:i/>
              </w:rPr>
              <w:t>pius Aeneas</w:t>
            </w:r>
            <w:r>
              <w:t>)</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Kulturkompetenz</w:t>
            </w:r>
          </w:p>
          <w:p>
            <w:pPr>
              <w:numPr>
                <w:ilvl w:val="0"/>
                <w:numId w:val="2"/>
              </w:numPr>
              <w:spacing w:before="60"/>
              <w:jc w:val="left"/>
            </w:pPr>
            <w:r>
              <w:rPr>
                <w:szCs w:val="20"/>
              </w:rPr>
              <w:t xml:space="preserve">einzelne Mythen: </w:t>
            </w:r>
            <w:r>
              <w:t>Aeneas in Italien</w:t>
            </w:r>
          </w:p>
          <w:p>
            <w:pPr>
              <w:numPr>
                <w:ilvl w:val="0"/>
                <w:numId w:val="2"/>
              </w:numPr>
              <w:spacing w:before="60"/>
              <w:jc w:val="left"/>
              <w:rPr>
                <w:szCs w:val="20"/>
              </w:rPr>
            </w:pPr>
            <w:r>
              <w:rPr>
                <w:color w:val="008000"/>
                <w:szCs w:val="20"/>
              </w:rPr>
              <w:t>Kernbegriffe und Namen:</w:t>
            </w:r>
          </w:p>
          <w:p>
            <w:pPr>
              <w:numPr>
                <w:ilvl w:val="0"/>
                <w:numId w:val="1"/>
              </w:numPr>
              <w:ind w:left="340" w:hanging="170"/>
              <w:jc w:val="left"/>
              <w:rPr>
                <w:szCs w:val="20"/>
              </w:rPr>
            </w:pPr>
            <w:r>
              <w:rPr>
                <w:szCs w:val="20"/>
              </w:rPr>
              <w:t>„</w:t>
            </w:r>
            <w:r>
              <w:rPr>
                <w:i/>
                <w:szCs w:val="20"/>
              </w:rPr>
              <w:t>do, ut des</w:t>
            </w:r>
            <w:r>
              <w:rPr>
                <w:szCs w:val="20"/>
              </w:rPr>
              <w:t>“ (hier: Opfer vor dem Tempel des Apoll)</w:t>
            </w:r>
          </w:p>
          <w:p>
            <w:pPr>
              <w:numPr>
                <w:ilvl w:val="0"/>
                <w:numId w:val="1"/>
              </w:numPr>
              <w:ind w:left="340" w:hanging="170"/>
              <w:jc w:val="left"/>
              <w:rPr>
                <w:szCs w:val="20"/>
              </w:rPr>
            </w:pPr>
            <w:r>
              <w:rPr>
                <w:szCs w:val="20"/>
              </w:rPr>
              <w:t>Sibylle (+)</w:t>
            </w:r>
          </w:p>
          <w:p>
            <w:pPr>
              <w:numPr>
                <w:ilvl w:val="0"/>
                <w:numId w:val="1"/>
              </w:numPr>
              <w:ind w:left="340" w:hanging="170"/>
              <w:jc w:val="left"/>
              <w:rPr>
                <w:szCs w:val="20"/>
              </w:rPr>
            </w:pPr>
            <w:r>
              <w:rPr>
                <w:szCs w:val="20"/>
              </w:rPr>
              <w:t>Latium (+), Latinus (+)</w:t>
            </w:r>
          </w:p>
          <w:p>
            <w:pPr>
              <w:numPr>
                <w:ilvl w:val="0"/>
                <w:numId w:val="1"/>
              </w:numPr>
              <w:ind w:left="340" w:hanging="170"/>
              <w:jc w:val="left"/>
              <w:rPr>
                <w:szCs w:val="20"/>
              </w:rPr>
            </w:pPr>
            <w:r>
              <w:rPr>
                <w:szCs w:val="20"/>
              </w:rPr>
              <w:t>Lavinia (+), Lavinium (+)</w:t>
            </w:r>
          </w:p>
          <w:p>
            <w:pPr>
              <w:numPr>
                <w:ilvl w:val="0"/>
                <w:numId w:val="1"/>
              </w:numPr>
              <w:ind w:left="340" w:hanging="170"/>
              <w:jc w:val="left"/>
              <w:rPr>
                <w:szCs w:val="20"/>
              </w:rPr>
            </w:pPr>
            <w:r>
              <w:rPr>
                <w:szCs w:val="20"/>
              </w:rPr>
              <w:t>Turnus (+)</w:t>
            </w:r>
          </w:p>
          <w:p>
            <w:pPr>
              <w:numPr>
                <w:ilvl w:val="0"/>
                <w:numId w:val="2"/>
              </w:numPr>
              <w:spacing w:before="60"/>
              <w:jc w:val="left"/>
              <w:rPr>
                <w:szCs w:val="20"/>
              </w:rPr>
            </w:pPr>
            <w:r>
              <w:rPr>
                <w:szCs w:val="20"/>
              </w:rPr>
              <w:t>Tempel, Opfer</w:t>
            </w:r>
          </w:p>
          <w:p>
            <w:pPr>
              <w:numPr>
                <w:ilvl w:val="0"/>
                <w:numId w:val="2"/>
              </w:numPr>
              <w:spacing w:before="60"/>
              <w:jc w:val="left"/>
            </w:pPr>
            <w:r>
              <w:rPr>
                <w:szCs w:val="20"/>
              </w:rPr>
              <w:t>Priester und Orakel</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Anmerkungen/Sonstiges</w:t>
            </w:r>
          </w:p>
          <w:p>
            <w:pPr>
              <w:spacing w:before="60"/>
              <w:jc w:val="left"/>
              <w:rPr>
                <w:szCs w:val="20"/>
              </w:rPr>
            </w:pPr>
          </w:p>
          <w:p>
            <w:pPr>
              <w:spacing w:before="60"/>
              <w:jc w:val="left"/>
              <w:rPr>
                <w:szCs w:val="20"/>
              </w:rPr>
            </w:pPr>
          </w:p>
          <w:p>
            <w:pPr>
              <w:spacing w:before="60"/>
              <w:jc w:val="left"/>
              <w:rPr>
                <w:szCs w:val="20"/>
              </w:rPr>
            </w:pPr>
          </w:p>
          <w:p>
            <w:pPr>
              <w:spacing w:before="60"/>
              <w:jc w:val="left"/>
            </w:pPr>
          </w:p>
        </w:tc>
      </w:tr>
    </w:tbl>
    <w:p/>
    <w:p>
      <w:pPr>
        <w:spacing w:after="120" w:line="240" w:lineRule="auto"/>
      </w:pPr>
      <w:r>
        <w:br w:type="page"/>
      </w:r>
    </w:p>
    <w:tbl>
      <w:tblPr>
        <w:tblStyle w:val="Tabellenraster"/>
        <w:tblW w:w="9072"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098"/>
        <w:gridCol w:w="6974"/>
      </w:tblGrid>
      <w:tr>
        <w:tc>
          <w:tcPr>
            <w:tcW w:w="2098" w:type="dxa"/>
            <w:vMerge w:val="restart"/>
            <w:tcMar>
              <w:top w:w="57" w:type="dxa"/>
              <w:bottom w:w="57" w:type="dxa"/>
            </w:tcMar>
          </w:tcPr>
          <w:p>
            <w:pPr>
              <w:ind w:left="272" w:hanging="272"/>
              <w:jc w:val="left"/>
              <w:rPr>
                <w:b/>
                <w:color w:val="3333CC"/>
              </w:rPr>
            </w:pPr>
            <w:r>
              <w:rPr>
                <w:b/>
                <w:color w:val="3333CC"/>
              </w:rPr>
              <w:lastRenderedPageBreak/>
              <w:t>13</w:t>
            </w:r>
            <w:r>
              <w:rPr>
                <w:b/>
                <w:color w:val="3333CC"/>
              </w:rPr>
              <w:tab/>
              <w:t>Romulus und Remus (inkl. Lesetext, S.</w:t>
            </w:r>
            <w:r>
              <w:rPr>
                <w:b/>
                <w:color w:val="3333CC"/>
                <w:sz w:val="14"/>
              </w:rPr>
              <w:t> </w:t>
            </w:r>
            <w:r>
              <w:rPr>
                <w:b/>
                <w:color w:val="3333CC"/>
              </w:rPr>
              <w:t>104)</w:t>
            </w:r>
          </w:p>
          <w:p>
            <w:pPr>
              <w:numPr>
                <w:ilvl w:val="0"/>
                <w:numId w:val="2"/>
              </w:numPr>
              <w:spacing w:before="60"/>
              <w:jc w:val="left"/>
            </w:pPr>
            <w:r>
              <w:t>Ind. Plqu. Akt.</w:t>
            </w:r>
          </w:p>
          <w:p>
            <w:pPr>
              <w:numPr>
                <w:ilvl w:val="0"/>
                <w:numId w:val="2"/>
              </w:numPr>
              <w:spacing w:before="60"/>
              <w:jc w:val="left"/>
            </w:pPr>
            <w:r>
              <w:t>Sinnrichtung von Konjunktionen</w:t>
            </w:r>
          </w:p>
        </w:tc>
        <w:tc>
          <w:tcPr>
            <w:tcW w:w="6974" w:type="dxa"/>
            <w:tcMar>
              <w:top w:w="57" w:type="dxa"/>
              <w:bottom w:w="57" w:type="dxa"/>
            </w:tcMar>
          </w:tcPr>
          <w:p>
            <w:pPr>
              <w:jc w:val="left"/>
              <w:rPr>
                <w:b/>
                <w:color w:val="FF0066"/>
              </w:rPr>
            </w:pPr>
            <w:r>
              <w:rPr>
                <w:b/>
                <w:color w:val="CC0066"/>
              </w:rPr>
              <w:t>Sprachkompetenz</w:t>
            </w:r>
          </w:p>
          <w:p>
            <w:pPr>
              <w:numPr>
                <w:ilvl w:val="0"/>
                <w:numId w:val="2"/>
              </w:numPr>
              <w:spacing w:before="60"/>
              <w:jc w:val="left"/>
            </w:pPr>
            <w:r>
              <w:t xml:space="preserve">21 </w:t>
            </w:r>
            <w:r>
              <w:rPr>
                <w:szCs w:val="20"/>
              </w:rPr>
              <w:t>neue</w:t>
            </w:r>
            <w:r>
              <w:t xml:space="preserve"> Vok. (insges. 402)</w:t>
            </w:r>
          </w:p>
          <w:p>
            <w:pPr>
              <w:numPr>
                <w:ilvl w:val="0"/>
                <w:numId w:val="2"/>
              </w:numPr>
              <w:spacing w:before="60"/>
              <w:jc w:val="left"/>
              <w:rPr>
                <w:szCs w:val="20"/>
              </w:rPr>
            </w:pPr>
            <w:r>
              <w:rPr>
                <w:szCs w:val="20"/>
              </w:rPr>
              <w:t>identifizieren Formen im Ind. Plqu. Akt. anhand der Signale für Person, Numerus und Tempus (+)</w:t>
            </w:r>
          </w:p>
          <w:p>
            <w:pPr>
              <w:numPr>
                <w:ilvl w:val="0"/>
                <w:numId w:val="2"/>
              </w:numPr>
              <w:spacing w:before="60"/>
              <w:jc w:val="left"/>
            </w:pPr>
            <w:r>
              <w:t xml:space="preserve">sortieren die gelernten Wörter nach grammatischen (hier: Wortarten, Ü 1) </w:t>
            </w:r>
            <w:r>
              <w:rPr>
                <w:szCs w:val="20"/>
              </w:rPr>
              <w:t>und semantischen (hier: Sachfelder, Ü 7) Gruppen</w:t>
            </w:r>
          </w:p>
          <w:p>
            <w:pPr>
              <w:numPr>
                <w:ilvl w:val="0"/>
                <w:numId w:val="2"/>
              </w:numPr>
              <w:spacing w:before="60"/>
              <w:jc w:val="left"/>
            </w:pPr>
            <w:r>
              <w:rPr>
                <w:szCs w:val="20"/>
              </w:rPr>
              <w:t>erläutern die Bedeutung einiger Fremd- und Lehnwörter im Deutschen im Rückgriff auf das lateinische Ursprungswort, wenn ihnen der Zusammenhang bekannt ist (Ü 6)</w:t>
            </w:r>
          </w:p>
          <w:p>
            <w:pPr>
              <w:numPr>
                <w:ilvl w:val="0"/>
                <w:numId w:val="2"/>
              </w:numPr>
              <w:spacing w:before="60"/>
              <w:jc w:val="left"/>
            </w:pPr>
            <w:r>
              <w:rPr>
                <w:szCs w:val="20"/>
              </w:rPr>
              <w:t>benennen signifikante Abweichungen vom Lateinischen im Deutschen oder Englischen (hier: Wortstellung, Ü 4)</w:t>
            </w:r>
          </w:p>
          <w:p>
            <w:pPr>
              <w:numPr>
                <w:ilvl w:val="0"/>
                <w:numId w:val="2"/>
              </w:numPr>
              <w:spacing w:before="60"/>
              <w:jc w:val="left"/>
            </w:pPr>
            <w:r>
              <w:rPr>
                <w:szCs w:val="20"/>
              </w:rPr>
              <w:t>trennen in überschaubaren Satzgefügen Haupt- und Nebensätze und benennen die semantische Funktion der Nebensätze fachsprachlich richtig (Temporal-, Kausal- und Konzessivsätze) (+)</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Textkompetenz</w:t>
            </w:r>
          </w:p>
          <w:p>
            <w:pPr>
              <w:numPr>
                <w:ilvl w:val="0"/>
                <w:numId w:val="2"/>
              </w:numPr>
              <w:spacing w:before="60"/>
              <w:jc w:val="left"/>
              <w:rPr>
                <w:szCs w:val="20"/>
              </w:rPr>
            </w:pPr>
            <w:r>
              <w:rPr>
                <w:szCs w:val="20"/>
              </w:rPr>
              <w:t>setzen den Inhalt des übersetzten Textes gestaltend um (hier: Skizze eines Drehbuchs; Entwurf einer Gerichtsverhandlung; S.</w:t>
            </w:r>
            <w:r>
              <w:rPr>
                <w:sz w:val="14"/>
                <w:szCs w:val="20"/>
              </w:rPr>
              <w:t> </w:t>
            </w:r>
            <w:r>
              <w:rPr>
                <w:szCs w:val="20"/>
              </w:rPr>
              <w:t>104: Interview mit Romulus)</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Kulturkompetenz</w:t>
            </w:r>
          </w:p>
          <w:p>
            <w:pPr>
              <w:numPr>
                <w:ilvl w:val="0"/>
                <w:numId w:val="2"/>
              </w:numPr>
              <w:spacing w:before="60"/>
              <w:jc w:val="left"/>
              <w:rPr>
                <w:szCs w:val="20"/>
              </w:rPr>
            </w:pPr>
            <w:r>
              <w:rPr>
                <w:szCs w:val="20"/>
              </w:rPr>
              <w:t>Topographie der Stadt Rom:</w:t>
            </w:r>
          </w:p>
          <w:p>
            <w:pPr>
              <w:numPr>
                <w:ilvl w:val="0"/>
                <w:numId w:val="1"/>
              </w:numPr>
              <w:ind w:left="340" w:hanging="170"/>
              <w:jc w:val="left"/>
            </w:pPr>
            <w:r>
              <w:t>Palatin</w:t>
            </w:r>
          </w:p>
          <w:p>
            <w:pPr>
              <w:numPr>
                <w:ilvl w:val="0"/>
                <w:numId w:val="1"/>
              </w:numPr>
              <w:ind w:left="340" w:hanging="170"/>
              <w:jc w:val="left"/>
            </w:pPr>
            <w:r>
              <w:t>Aventin</w:t>
            </w:r>
          </w:p>
          <w:p>
            <w:pPr>
              <w:numPr>
                <w:ilvl w:val="0"/>
                <w:numId w:val="2"/>
              </w:numPr>
              <w:spacing w:before="60"/>
              <w:jc w:val="left"/>
              <w:rPr>
                <w:szCs w:val="20"/>
              </w:rPr>
            </w:pPr>
            <w:r>
              <w:rPr>
                <w:szCs w:val="20"/>
              </w:rPr>
              <w:t>römische Mythen der Frühzeit (Romulus und Remus, Raub der Sabinerinnen)</w:t>
            </w:r>
          </w:p>
          <w:p>
            <w:pPr>
              <w:numPr>
                <w:ilvl w:val="0"/>
                <w:numId w:val="2"/>
              </w:numPr>
              <w:spacing w:before="60"/>
              <w:jc w:val="left"/>
            </w:pPr>
            <w:r>
              <w:rPr>
                <w:szCs w:val="20"/>
              </w:rPr>
              <w:t>politisch-historische Ereignisse</w:t>
            </w:r>
            <w:r>
              <w:t xml:space="preserve"> (hier: mythologischer und historischer Ursprung Roms)</w:t>
            </w:r>
          </w:p>
          <w:p>
            <w:pPr>
              <w:numPr>
                <w:ilvl w:val="0"/>
                <w:numId w:val="2"/>
              </w:numPr>
              <w:spacing w:before="60"/>
              <w:jc w:val="left"/>
            </w:pPr>
            <w:r>
              <w:rPr>
                <w:szCs w:val="20"/>
              </w:rPr>
              <w:t>benennen das Fremde in den Verhaltensweisen und Regeln der Römer (hier: Legitimation des Brudermords aus Staatsraison)</w:t>
            </w:r>
          </w:p>
          <w:p>
            <w:pPr>
              <w:numPr>
                <w:ilvl w:val="0"/>
                <w:numId w:val="2"/>
              </w:numPr>
              <w:spacing w:before="60"/>
              <w:jc w:val="left"/>
            </w:pPr>
            <w:r>
              <w:br w:type="page"/>
              <w:t>beschreiben angeleitet antike Kunstgegenstände (S.</w:t>
            </w:r>
            <w:r>
              <w:rPr>
                <w:sz w:val="14"/>
              </w:rPr>
              <w:t> </w:t>
            </w:r>
            <w:r>
              <w:t>99: Kapitolinische Wölfin)</w:t>
            </w:r>
          </w:p>
          <w:p>
            <w:pPr>
              <w:numPr>
                <w:ilvl w:val="0"/>
                <w:numId w:val="2"/>
              </w:numPr>
              <w:spacing w:before="60"/>
              <w:jc w:val="left"/>
            </w:pPr>
            <w:r>
              <w:t>benennen ihren Eindruck bei der Rezeption römischer Kunst (S.</w:t>
            </w:r>
            <w:r>
              <w:rPr>
                <w:sz w:val="14"/>
              </w:rPr>
              <w:t> </w:t>
            </w:r>
            <w:r>
              <w:t>99: Kapitolinische Wölfin)</w:t>
            </w:r>
          </w:p>
          <w:p>
            <w:pPr>
              <w:numPr>
                <w:ilvl w:val="0"/>
                <w:numId w:val="2"/>
              </w:numPr>
              <w:spacing w:before="60"/>
              <w:jc w:val="left"/>
            </w:pPr>
            <w:r>
              <w:rPr>
                <w:color w:val="008000"/>
                <w:szCs w:val="20"/>
              </w:rPr>
              <w:t>Fachbegriffe und Namen:</w:t>
            </w:r>
          </w:p>
          <w:p>
            <w:pPr>
              <w:numPr>
                <w:ilvl w:val="0"/>
                <w:numId w:val="1"/>
              </w:numPr>
              <w:ind w:left="340" w:hanging="170"/>
              <w:jc w:val="left"/>
            </w:pPr>
            <w:r>
              <w:t>Rhea Silvia (+)</w:t>
            </w:r>
          </w:p>
          <w:p>
            <w:pPr>
              <w:numPr>
                <w:ilvl w:val="0"/>
                <w:numId w:val="1"/>
              </w:numPr>
              <w:ind w:left="340" w:hanging="170"/>
              <w:jc w:val="left"/>
            </w:pPr>
            <w:r>
              <w:t>Alba Longa (+)</w:t>
            </w:r>
          </w:p>
          <w:p>
            <w:pPr>
              <w:numPr>
                <w:ilvl w:val="0"/>
                <w:numId w:val="1"/>
              </w:numPr>
              <w:ind w:left="340" w:hanging="170"/>
              <w:jc w:val="left"/>
            </w:pPr>
            <w:r>
              <w:rPr>
                <w:i/>
              </w:rPr>
              <w:t>pomerium</w:t>
            </w:r>
            <w:r>
              <w:t xml:space="preserve"> (+)</w:t>
            </w:r>
          </w:p>
        </w:tc>
      </w:tr>
      <w:tr>
        <w:tc>
          <w:tcPr>
            <w:tcW w:w="2098" w:type="dxa"/>
            <w:vMerge/>
            <w:tcMar>
              <w:top w:w="57" w:type="dxa"/>
              <w:bottom w:w="57" w:type="dxa"/>
            </w:tcMar>
          </w:tcPr>
          <w:p>
            <w:pPr>
              <w:jc w:val="left"/>
            </w:pPr>
          </w:p>
        </w:tc>
        <w:tc>
          <w:tcPr>
            <w:tcW w:w="6974" w:type="dxa"/>
            <w:tcMar>
              <w:top w:w="57" w:type="dxa"/>
              <w:bottom w:w="57" w:type="dxa"/>
            </w:tcMar>
          </w:tcPr>
          <w:p>
            <w:pPr>
              <w:jc w:val="left"/>
              <w:rPr>
                <w:b/>
                <w:color w:val="FF0066"/>
              </w:rPr>
            </w:pPr>
            <w:r>
              <w:rPr>
                <w:b/>
                <w:color w:val="CC0066"/>
              </w:rPr>
              <w:t>Anmerkungen/Sonstiges</w:t>
            </w:r>
          </w:p>
          <w:p>
            <w:pPr>
              <w:numPr>
                <w:ilvl w:val="0"/>
                <w:numId w:val="2"/>
              </w:numPr>
              <w:spacing w:before="60"/>
              <w:jc w:val="left"/>
              <w:rPr>
                <w:szCs w:val="20"/>
              </w:rPr>
            </w:pPr>
            <w:r>
              <w:rPr>
                <w:szCs w:val="20"/>
              </w:rPr>
              <w:t>Raub der Sabinerinnen (verbindlich im KC) im Lesetext des Sequenzabschlusses, S.</w:t>
            </w:r>
            <w:r>
              <w:rPr>
                <w:sz w:val="14"/>
                <w:szCs w:val="20"/>
              </w:rPr>
              <w:t> </w:t>
            </w:r>
            <w:r>
              <w:rPr>
                <w:szCs w:val="20"/>
              </w:rPr>
              <w:t>104</w:t>
            </w:r>
          </w:p>
          <w:p>
            <w:pPr>
              <w:numPr>
                <w:ilvl w:val="0"/>
                <w:numId w:val="2"/>
              </w:numPr>
              <w:spacing w:before="60"/>
              <w:jc w:val="left"/>
              <w:rPr>
                <w:szCs w:val="20"/>
              </w:rPr>
            </w:pPr>
            <w:r>
              <w:rPr>
                <w:szCs w:val="20"/>
              </w:rPr>
              <w:t>Bei der Besprechung des Stammbaums (S.</w:t>
            </w:r>
            <w:r>
              <w:rPr>
                <w:sz w:val="14"/>
                <w:szCs w:val="20"/>
              </w:rPr>
              <w:t> </w:t>
            </w:r>
            <w:r>
              <w:rPr>
                <w:szCs w:val="20"/>
              </w:rPr>
              <w:t>98) kann die Bedeutung des Vestakultes (vgl. L.</w:t>
            </w:r>
            <w:r>
              <w:rPr>
                <w:sz w:val="14"/>
                <w:szCs w:val="20"/>
              </w:rPr>
              <w:t xml:space="preserve"> </w:t>
            </w:r>
            <w:r>
              <w:rPr>
                <w:szCs w:val="20"/>
              </w:rPr>
              <w:t>5) wiederholt werden (vgl. S.</w:t>
            </w:r>
            <w:r>
              <w:rPr>
                <w:sz w:val="14"/>
                <w:szCs w:val="20"/>
              </w:rPr>
              <w:t> </w:t>
            </w:r>
            <w:r>
              <w:rPr>
                <w:szCs w:val="20"/>
              </w:rPr>
              <w:t>170</w:t>
            </w:r>
            <w:r>
              <w:rPr>
                <w:sz w:val="14"/>
              </w:rPr>
              <w:t> </w:t>
            </w:r>
            <w:r>
              <w:t>f.</w:t>
            </w:r>
            <w:r>
              <w:rPr>
                <w:szCs w:val="20"/>
              </w:rPr>
              <w:t xml:space="preserve">, Eigennamenverzeichnis, </w:t>
            </w:r>
            <w:r>
              <w:rPr>
                <w:szCs w:val="20"/>
              </w:rPr>
              <w:br/>
              <w:t>s.</w:t>
            </w:r>
            <w:r>
              <w:rPr>
                <w:sz w:val="14"/>
                <w:szCs w:val="20"/>
              </w:rPr>
              <w:t> </w:t>
            </w:r>
            <w:r>
              <w:rPr>
                <w:szCs w:val="20"/>
              </w:rPr>
              <w:t xml:space="preserve">v. </w:t>
            </w:r>
            <w:r>
              <w:rPr>
                <w:i/>
                <w:szCs w:val="20"/>
              </w:rPr>
              <w:t>Rhea Silvia</w:t>
            </w:r>
            <w:r>
              <w:rPr>
                <w:szCs w:val="20"/>
              </w:rPr>
              <w:t xml:space="preserve"> und </w:t>
            </w:r>
            <w:r>
              <w:rPr>
                <w:i/>
                <w:szCs w:val="20"/>
              </w:rPr>
              <w:t>Vesta</w:t>
            </w:r>
            <w:r>
              <w:rPr>
                <w:szCs w:val="20"/>
              </w:rPr>
              <w:t>).</w:t>
            </w:r>
          </w:p>
          <w:p>
            <w:pPr>
              <w:spacing w:before="60"/>
              <w:jc w:val="left"/>
              <w:rPr>
                <w:szCs w:val="20"/>
              </w:rPr>
            </w:pPr>
          </w:p>
          <w:p>
            <w:pPr>
              <w:spacing w:before="60"/>
              <w:jc w:val="left"/>
              <w:rPr>
                <w:szCs w:val="20"/>
              </w:rPr>
            </w:pPr>
          </w:p>
        </w:tc>
      </w:tr>
    </w:tbl>
    <w:p>
      <w:pPr>
        <w:spacing w:line="240" w:lineRule="auto"/>
      </w:pPr>
    </w:p>
    <w:sectPr>
      <w:headerReference w:type="default" r:id="rId8"/>
      <w:footerReference w:type="default" r:id="rId9"/>
      <w:headerReference w:type="first" r:id="rId10"/>
      <w:footerReference w:type="first" r:id="rId11"/>
      <w:pgSz w:w="11906" w:h="16838" w:code="9"/>
      <w:pgMar w:top="1418" w:right="1418" w:bottom="1985" w:left="1418"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panose1 w:val="02040503050201020203"/>
    <w:charset w:val="00"/>
    <w:family w:val="roman"/>
    <w:notTrueType/>
    <w:pitch w:val="variable"/>
    <w:sig w:usb0="E00002AF" w:usb1="5000E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Borders>
        <w:top w:val="single" w:sz="4" w:space="0" w:color="000080"/>
      </w:tblBorders>
      <w:tblLayout w:type="fixed"/>
      <w:tblCellMar>
        <w:left w:w="0" w:type="dxa"/>
        <w:right w:w="0" w:type="dxa"/>
      </w:tblCellMar>
      <w:tblLook w:val="0000" w:firstRow="0" w:lastRow="0" w:firstColumn="0" w:lastColumn="0" w:noHBand="0" w:noVBand="0"/>
    </w:tblPr>
    <w:tblGrid>
      <w:gridCol w:w="1077"/>
      <w:gridCol w:w="7711"/>
      <w:gridCol w:w="284"/>
    </w:tblGrid>
    <w:tr>
      <w:trPr>
        <w:trHeight w:val="430"/>
      </w:trPr>
      <w:tc>
        <w:tcPr>
          <w:tcW w:w="1077" w:type="dxa"/>
        </w:tcPr>
        <w:p>
          <w:pPr>
            <w:spacing w:before="20" w:line="240" w:lineRule="auto"/>
            <w:rPr>
              <w:sz w:val="14"/>
              <w:szCs w:val="14"/>
            </w:rPr>
          </w:pPr>
          <w:r>
            <w:rPr>
              <w:sz w:val="14"/>
              <w:szCs w:val="14"/>
            </w:rPr>
            <w:drawing>
              <wp:inline distT="0" distB="0" distL="0" distR="0">
                <wp:extent cx="647642" cy="317840"/>
                <wp:effectExtent l="0" t="0" r="63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50px-Klett.jpg"/>
                        <pic:cNvPicPr/>
                      </pic:nvPicPr>
                      <pic:blipFill rotWithShape="1">
                        <a:blip r:embed="rId1">
                          <a:extLst>
                            <a:ext uri="{28A0092B-C50C-407E-A947-70E740481C1C}">
                              <a14:useLocalDpi xmlns:a14="http://schemas.microsoft.com/office/drawing/2010/main" val="0"/>
                            </a:ext>
                          </a:extLst>
                        </a:blip>
                        <a:srcRect t="4856" b="4949"/>
                        <a:stretch/>
                      </pic:blipFill>
                      <pic:spPr bwMode="auto">
                        <a:xfrm>
                          <a:off x="0" y="0"/>
                          <a:ext cx="647700" cy="317868"/>
                        </a:xfrm>
                        <a:prstGeom prst="rect">
                          <a:avLst/>
                        </a:prstGeom>
                        <a:ln>
                          <a:noFill/>
                        </a:ln>
                        <a:extLst>
                          <a:ext uri="{53640926-AAD7-44D8-BBD7-CCE9431645EC}">
                            <a14:shadowObscured xmlns:a14="http://schemas.microsoft.com/office/drawing/2010/main"/>
                          </a:ext>
                        </a:extLst>
                      </pic:spPr>
                    </pic:pic>
                  </a:graphicData>
                </a:graphic>
              </wp:inline>
            </w:drawing>
          </w:r>
        </w:p>
      </w:tc>
      <w:tc>
        <w:tcPr>
          <w:tcW w:w="7711" w:type="dxa"/>
          <w:vAlign w:val="center"/>
        </w:tcPr>
        <w:p>
          <w:pPr>
            <w:spacing w:line="240" w:lineRule="auto"/>
            <w:ind w:left="114"/>
            <w:jc w:val="center"/>
            <w:rPr>
              <w:sz w:val="14"/>
              <w:szCs w:val="14"/>
            </w:rPr>
          </w:pPr>
          <w:r>
            <w:rPr>
              <w:sz w:val="14"/>
              <w:szCs w:val="14"/>
            </w:rPr>
            <w:t xml:space="preserve">Autor: Dr. Matthias Hengelbrock | © Ernst Klett Verlag GmbH, Stuttgart 2017 | www.klett.de | Alle Rechte vorbehalten. </w:t>
          </w:r>
          <w:r>
            <w:rPr>
              <w:sz w:val="14"/>
              <w:szCs w:val="14"/>
            </w:rPr>
            <w:br/>
            <w:t>Von dieser Druckvorlage ist die Vervielfältigung für den eigenen Unterrichtsgebrauch gestattet. Die Kopiergebühren sind abgegolten.</w:t>
          </w:r>
        </w:p>
      </w:tc>
      <w:tc>
        <w:tcPr>
          <w:tcW w:w="284" w:type="dxa"/>
          <w:vAlign w:val="center"/>
        </w:tcPr>
        <w:p>
          <w:pPr>
            <w:spacing w:before="120" w:line="240" w:lineRule="auto"/>
            <w:jc w:val="right"/>
            <w:rPr>
              <w:rFonts w:eastAsiaTheme="majorEastAsia"/>
              <w:sz w:val="14"/>
              <w:szCs w:val="14"/>
            </w:rPr>
          </w:pPr>
          <w:r>
            <w:rPr>
              <w:rFonts w:eastAsiaTheme="majorEastAsia"/>
              <w:szCs w:val="14"/>
            </w:rPr>
            <w:fldChar w:fldCharType="begin"/>
          </w:r>
          <w:r>
            <w:rPr>
              <w:rFonts w:eastAsiaTheme="majorEastAsia"/>
              <w:szCs w:val="14"/>
            </w:rPr>
            <w:instrText xml:space="preserve"> PAGE </w:instrText>
          </w:r>
          <w:r>
            <w:rPr>
              <w:rFonts w:eastAsiaTheme="majorEastAsia"/>
              <w:szCs w:val="14"/>
            </w:rPr>
            <w:fldChar w:fldCharType="separate"/>
          </w:r>
          <w:r>
            <w:rPr>
              <w:rFonts w:eastAsiaTheme="majorEastAsia"/>
              <w:szCs w:val="14"/>
            </w:rPr>
            <w:t>3</w:t>
          </w:r>
          <w:r>
            <w:rPr>
              <w:rFonts w:eastAsiaTheme="majorEastAsia"/>
              <w:szCs w:val="14"/>
            </w:rPr>
            <w:fldChar w:fldCharType="end"/>
          </w:r>
        </w:p>
      </w:tc>
    </w:tr>
  </w:tbl>
  <w:p>
    <w:pPr>
      <w:spacing w:line="240" w:lineRule="auto"/>
      <w:rPr>
        <w:rFonts w:eastAsia="Minion Pro"/>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Borders>
        <w:top w:val="single" w:sz="4" w:space="0" w:color="002060"/>
      </w:tblBorders>
      <w:tblLayout w:type="fixed"/>
      <w:tblCellMar>
        <w:left w:w="0" w:type="dxa"/>
        <w:right w:w="0" w:type="dxa"/>
      </w:tblCellMar>
      <w:tblLook w:val="0000" w:firstRow="0" w:lastRow="0" w:firstColumn="0" w:lastColumn="0" w:noHBand="0" w:noVBand="0"/>
    </w:tblPr>
    <w:tblGrid>
      <w:gridCol w:w="1071"/>
      <w:gridCol w:w="7719"/>
      <w:gridCol w:w="282"/>
    </w:tblGrid>
    <w:tr>
      <w:trPr>
        <w:trHeight w:val="430"/>
      </w:trPr>
      <w:tc>
        <w:tcPr>
          <w:tcW w:w="1077" w:type="dxa"/>
        </w:tcPr>
        <w:p>
          <w:pPr>
            <w:spacing w:before="20" w:line="240" w:lineRule="auto"/>
          </w:pPr>
          <w:r>
            <w:rPr>
              <w:sz w:val="14"/>
              <w:szCs w:val="14"/>
            </w:rPr>
            <w:drawing>
              <wp:inline distT="0" distB="0" distL="0" distR="0">
                <wp:extent cx="647642" cy="317840"/>
                <wp:effectExtent l="0" t="0" r="63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50px-Klett.jpg"/>
                        <pic:cNvPicPr/>
                      </pic:nvPicPr>
                      <pic:blipFill rotWithShape="1">
                        <a:blip r:embed="rId1">
                          <a:extLst>
                            <a:ext uri="{28A0092B-C50C-407E-A947-70E740481C1C}">
                              <a14:useLocalDpi xmlns:a14="http://schemas.microsoft.com/office/drawing/2010/main" val="0"/>
                            </a:ext>
                          </a:extLst>
                        </a:blip>
                        <a:srcRect t="4856" b="4949"/>
                        <a:stretch/>
                      </pic:blipFill>
                      <pic:spPr bwMode="auto">
                        <a:xfrm>
                          <a:off x="0" y="0"/>
                          <a:ext cx="647700" cy="317868"/>
                        </a:xfrm>
                        <a:prstGeom prst="rect">
                          <a:avLst/>
                        </a:prstGeom>
                        <a:ln>
                          <a:noFill/>
                        </a:ln>
                        <a:extLst>
                          <a:ext uri="{53640926-AAD7-44D8-BBD7-CCE9431645EC}">
                            <a14:shadowObscured xmlns:a14="http://schemas.microsoft.com/office/drawing/2010/main"/>
                          </a:ext>
                        </a:extLst>
                      </pic:spPr>
                    </pic:pic>
                  </a:graphicData>
                </a:graphic>
              </wp:inline>
            </w:drawing>
          </w:r>
        </w:p>
      </w:tc>
      <w:tc>
        <w:tcPr>
          <w:tcW w:w="7768" w:type="dxa"/>
          <w:vAlign w:val="center"/>
        </w:tcPr>
        <w:p>
          <w:pPr>
            <w:spacing w:line="240" w:lineRule="auto"/>
            <w:ind w:left="113"/>
            <w:jc w:val="center"/>
            <w:rPr>
              <w:sz w:val="16"/>
            </w:rPr>
          </w:pPr>
          <w:r>
            <w:rPr>
              <w:sz w:val="14"/>
              <w:szCs w:val="14"/>
            </w:rPr>
            <w:t xml:space="preserve">Autor: Dr. Matthias Hengelbrock | </w:t>
          </w:r>
          <w:r>
            <w:rPr>
              <w:sz w:val="14"/>
            </w:rPr>
            <w:t xml:space="preserve">© Ernst Klett Verlag GmbH, Stuttgart 2017 | www.klett.de | Alle Rechte vorbehalten. </w:t>
          </w:r>
          <w:r>
            <w:rPr>
              <w:sz w:val="14"/>
            </w:rPr>
            <w:br/>
            <w:t>Von dieser Druckvorlage ist die Vervielfältigung für den eigenen Unterrichtsgebrauch gestattet. Die Kopiergebühren sind abgegolten.</w:t>
          </w:r>
        </w:p>
      </w:tc>
      <w:tc>
        <w:tcPr>
          <w:tcW w:w="284" w:type="dxa"/>
          <w:vAlign w:val="center"/>
        </w:tcPr>
        <w:p>
          <w:pPr>
            <w:spacing w:before="120" w:line="240" w:lineRule="auto"/>
            <w:jc w:val="right"/>
            <w:rPr>
              <w:rFonts w:eastAsiaTheme="majorEastAsia"/>
              <w:sz w:val="16"/>
            </w:rPr>
          </w:pPr>
          <w:r>
            <w:rPr>
              <w:rFonts w:eastAsiaTheme="majorEastAsia"/>
            </w:rPr>
            <w:fldChar w:fldCharType="begin"/>
          </w:r>
          <w:r>
            <w:rPr>
              <w:rFonts w:eastAsiaTheme="majorEastAsia"/>
            </w:rPr>
            <w:instrText xml:space="preserve"> PAGE </w:instrText>
          </w:r>
          <w:r>
            <w:rPr>
              <w:rFonts w:eastAsiaTheme="majorEastAsia"/>
            </w:rPr>
            <w:fldChar w:fldCharType="separate"/>
          </w:r>
          <w:r>
            <w:rPr>
              <w:rFonts w:eastAsiaTheme="majorEastAsia"/>
            </w:rPr>
            <w:t>1</w:t>
          </w:r>
          <w:r>
            <w:rPr>
              <w:rFonts w:eastAsiaTheme="majorEastAsia"/>
            </w:rPr>
            <w:fldChar w:fldCharType="end"/>
          </w:r>
        </w:p>
      </w:tc>
    </w:tr>
  </w:tbl>
  <w:p>
    <w:pPr>
      <w:spacing w:line="240" w:lineRule="auto"/>
      <w:rPr>
        <w:rFonts w:eastAsia="Minion Pro"/>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pBdr>
        <w:bottom w:val="single" w:sz="4" w:space="1" w:color="000080"/>
      </w:pBdr>
      <w:tabs>
        <w:tab w:val="clear" w:pos="4536"/>
      </w:tabs>
      <w:spacing w:line="220" w:lineRule="exact"/>
      <w:rPr>
        <w:rFonts w:eastAsia="Minion Pro"/>
        <w:color w:val="000080"/>
      </w:rPr>
    </w:pPr>
    <w:r>
      <w:rPr>
        <w:rFonts w:eastAsia="Minion Pro"/>
        <w:color w:val="000080"/>
      </w:rPr>
      <w:t>Pontes, Band 1  ∙  Stoffverteilungs- und Arbeitsplan für Niedersachsen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line="240" w:lineRule="auto"/>
      <w:rPr>
        <w:sz w:val="2"/>
        <w:szCs w:val="2"/>
      </w:rPr>
    </w:pPr>
  </w:p>
  <w:p>
    <w:pPr>
      <w:pStyle w:val="Kopfzeile"/>
      <w:pBdr>
        <w:bottom w:val="single" w:sz="4" w:space="1" w:color="000080"/>
      </w:pBdr>
      <w:tabs>
        <w:tab w:val="clear" w:pos="4536"/>
      </w:tabs>
      <w:spacing w:line="220" w:lineRule="exact"/>
      <w:rPr>
        <w:rFonts w:eastAsia="Minion Pro"/>
        <w:color w:val="000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0245"/>
    <w:multiLevelType w:val="hybridMultilevel"/>
    <w:tmpl w:val="70421254"/>
    <w:lvl w:ilvl="0" w:tplc="A1D4F34A">
      <w:start w:val="1"/>
      <w:numFmt w:val="bullet"/>
      <w:lvlText w:val="–"/>
      <w:lvlJc w:val="left"/>
      <w:pPr>
        <w:tabs>
          <w:tab w:val="num" w:pos="227"/>
        </w:tabs>
        <w:ind w:left="227" w:hanging="57"/>
      </w:pPr>
      <w:rPr>
        <w:rFonts w:ascii="Minion Pro" w:hAnsi="Minion Pro" w:hint="default"/>
      </w:rPr>
    </w:lvl>
    <w:lvl w:ilvl="1" w:tplc="1682E458">
      <w:numFmt w:val="bullet"/>
      <w:lvlText w:val="-"/>
      <w:lvlJc w:val="left"/>
      <w:pPr>
        <w:tabs>
          <w:tab w:val="num" w:pos="1440"/>
        </w:tabs>
        <w:ind w:left="1440" w:hanging="360"/>
      </w:pPr>
      <w:rPr>
        <w:rFonts w:ascii="Calibri" w:eastAsia="Times New Roman" w:hAnsi="Calibri"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56EAD"/>
    <w:multiLevelType w:val="hybridMultilevel"/>
    <w:tmpl w:val="6E4E12D0"/>
    <w:lvl w:ilvl="0" w:tplc="C2E6799E">
      <w:start w:val="1"/>
      <w:numFmt w:val="bullet"/>
      <w:lvlText w:val="•"/>
      <w:lvlJc w:val="left"/>
      <w:pPr>
        <w:tabs>
          <w:tab w:val="num" w:pos="170"/>
        </w:tabs>
        <w:ind w:left="170" w:hanging="170"/>
      </w:pPr>
      <w:rPr>
        <w:rFonts w:ascii="Minion Pro" w:hAnsi="Minion Pro" w:hint="default"/>
      </w:rPr>
    </w:lvl>
    <w:lvl w:ilvl="1" w:tplc="1682E458">
      <w:numFmt w:val="bullet"/>
      <w:lvlText w:val="-"/>
      <w:lvlJc w:val="left"/>
      <w:pPr>
        <w:tabs>
          <w:tab w:val="num" w:pos="1440"/>
        </w:tabs>
        <w:ind w:left="1440" w:hanging="360"/>
      </w:pPr>
      <w:rPr>
        <w:rFonts w:ascii="Calibri" w:eastAsia="Times New Roman" w:hAnsi="Calibri" w:cs="Times New Roman" w:hint="default"/>
      </w:rPr>
    </w:lvl>
    <w:lvl w:ilvl="2" w:tplc="6CBE16E2">
      <w:start w:val="19"/>
      <w:numFmt w:val="bullet"/>
      <w:lvlText w:val=""/>
      <w:lvlJc w:val="left"/>
      <w:pPr>
        <w:tabs>
          <w:tab w:val="num" w:pos="2160"/>
        </w:tabs>
        <w:ind w:left="2160" w:hanging="360"/>
      </w:pPr>
      <w:rPr>
        <w:rFonts w:ascii="Symbol" w:eastAsia="Times New Roman" w:hAnsi="Symbol" w:cs="Times New Roman"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7EB662-E051-4833-8BB6-84A1993F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exact"/>
    </w:pPr>
    <w:rPr>
      <w:rFonts w:ascii="Calibri" w:eastAsia="Times New Roman" w:hAnsi="Calibri" w:cs="Times New Roman"/>
      <w:noProof/>
      <w:sz w:val="20"/>
      <w:szCs w:val="24"/>
      <w:lang w:eastAsia="de-DE"/>
    </w:rPr>
  </w:style>
  <w:style w:type="paragraph" w:styleId="berschrift1">
    <w:name w:val="heading 1"/>
    <w:basedOn w:val="Standard"/>
    <w:next w:val="Standard"/>
    <w:link w:val="berschrift1Zchn"/>
    <w:uiPriority w:val="9"/>
    <w:qFormat/>
    <w:pPr>
      <w:keepNext/>
      <w:spacing w:before="180"/>
      <w:outlineLvl w:val="0"/>
    </w:pPr>
    <w:rPr>
      <w:b/>
      <w:color w:val="00800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spacing w:line="240" w:lineRule="auto"/>
      <w:jc w:val="center"/>
    </w:pPr>
    <w:rPr>
      <w:rFonts w:cs="Arial"/>
      <w:color w:val="002060"/>
    </w:rPr>
  </w:style>
  <w:style w:type="character" w:customStyle="1" w:styleId="KopfzeileZchn">
    <w:name w:val="Kopfzeile Zchn"/>
    <w:basedOn w:val="Absatz-Standardschriftart"/>
    <w:link w:val="Kopfzeile"/>
    <w:rPr>
      <w:rFonts w:ascii="Calibri" w:eastAsia="Times New Roman" w:hAnsi="Calibri" w:cs="Arial"/>
      <w:color w:val="002060"/>
      <w:sz w:val="20"/>
      <w:szCs w:val="24"/>
      <w:lang w:eastAsia="de-DE"/>
    </w:rPr>
  </w:style>
  <w:style w:type="table" w:styleId="Tabellenraster">
    <w:name w:val="Table Grid"/>
    <w:basedOn w:val="NormaleTabelle"/>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Calibri" w:eastAsia="Times New Roman" w:hAnsi="Calibri" w:cs="Times New Roman"/>
      <w:sz w:val="20"/>
      <w:szCs w:val="24"/>
      <w:lang w:eastAsia="de-DE"/>
    </w:rPr>
  </w:style>
  <w:style w:type="character" w:customStyle="1" w:styleId="berschrift1Zchn">
    <w:name w:val="Überschrift 1 Zchn"/>
    <w:basedOn w:val="Absatz-Standardschriftart"/>
    <w:link w:val="berschrift1"/>
    <w:uiPriority w:val="9"/>
    <w:rPr>
      <w:rFonts w:ascii="Calibri" w:eastAsia="Times New Roman" w:hAnsi="Calibri" w:cs="Times New Roman"/>
      <w:b/>
      <w:color w:val="008000"/>
      <w:sz w:val="20"/>
      <w:szCs w:val="20"/>
      <w:lang w:eastAsia="de-D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4052</Words>
  <Characters>25534</Characters>
  <Application>Microsoft Office Word</Application>
  <DocSecurity>0</DocSecurity>
  <Lines>212</Lines>
  <Paragraphs>59</Paragraphs>
  <ScaleCrop>false</ScaleCrop>
  <HeadingPairs>
    <vt:vector size="2" baseType="variant">
      <vt:variant>
        <vt:lpstr>Titel</vt:lpstr>
      </vt:variant>
      <vt:variant>
        <vt:i4>1</vt:i4>
      </vt:variant>
    </vt:vector>
  </HeadingPairs>
  <TitlesOfParts>
    <vt:vector size="1" baseType="lpstr">
      <vt:lpstr/>
    </vt:vector>
  </TitlesOfParts>
  <Company>Ernst Klett Verlag GmbH</Company>
  <LinksUpToDate>false</LinksUpToDate>
  <CharactersWithSpaces>29527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Matthias Hengelbrock</dc:creator>
  <cp:lastModifiedBy>Matthias Hengelbrock</cp:lastModifiedBy>
  <cp:revision>28</cp:revision>
  <cp:lastPrinted>2017-09-19T15:27:00Z</cp:lastPrinted>
  <dcterms:created xsi:type="dcterms:W3CDTF">2015-07-24T06:10:00Z</dcterms:created>
  <dcterms:modified xsi:type="dcterms:W3CDTF">2017-09-19T15:28:00Z</dcterms:modified>
</cp:coreProperties>
</file>